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A87BC" w14:textId="2198949B" w:rsidR="00115035" w:rsidRPr="00D81559" w:rsidRDefault="00EC6877" w:rsidP="00D81559">
      <w:pPr>
        <w:jc w:val="center"/>
      </w:pPr>
      <w:bookmarkStart w:id="0" w:name="_GoBack"/>
      <w:bookmarkEnd w:id="0"/>
    </w:p>
    <w:p w14:paraId="34861D5A" w14:textId="179A0993" w:rsidR="00E93FC7" w:rsidRPr="00D81559" w:rsidRDefault="00EC6877" w:rsidP="00D81559">
      <w:pPr>
        <w:jc w:val="center"/>
      </w:pPr>
    </w:p>
    <w:p w14:paraId="1820C84F" w14:textId="17CFD776" w:rsidR="00E93FC7" w:rsidRPr="00D81559" w:rsidRDefault="00AB3504" w:rsidP="00D81559">
      <w:pPr>
        <w:pStyle w:val="DecHTitle"/>
      </w:pPr>
      <w:r w:rsidRPr="00D81559">
        <w:t>GRAND CHAMBER</w:t>
      </w:r>
    </w:p>
    <w:p w14:paraId="3CB14488" w14:textId="77777777" w:rsidR="00E93FC7" w:rsidRPr="00D81559" w:rsidRDefault="006267D3" w:rsidP="00D81559">
      <w:pPr>
        <w:pStyle w:val="DecHTitle"/>
      </w:pPr>
      <w:r w:rsidRPr="00D81559">
        <w:t>DECISION</w:t>
      </w:r>
    </w:p>
    <w:p w14:paraId="779EFA55" w14:textId="05F96B4D" w:rsidR="00EE3667" w:rsidRPr="00D81559" w:rsidRDefault="00AB3504" w:rsidP="00D81559">
      <w:pPr>
        <w:pStyle w:val="DecHCase"/>
        <w:rPr>
          <w:i/>
        </w:rPr>
      </w:pPr>
      <w:r w:rsidRPr="00D81559">
        <w:t>Application no.</w:t>
      </w:r>
      <w:r w:rsidR="006267D3" w:rsidRPr="00D81559">
        <w:t xml:space="preserve"> </w:t>
      </w:r>
      <w:r w:rsidRPr="00D81559">
        <w:t>20863/21</w:t>
      </w:r>
      <w:r w:rsidR="006267D3" w:rsidRPr="00D81559">
        <w:br/>
      </w:r>
      <w:r w:rsidRPr="00D81559">
        <w:t xml:space="preserve">Beverly Ann </w:t>
      </w:r>
      <w:proofErr w:type="spellStart"/>
      <w:r w:rsidRPr="00D81559">
        <w:t>M</w:t>
      </w:r>
      <w:r w:rsidR="00716034" w:rsidRPr="00D81559">
        <w:t>c</w:t>
      </w:r>
      <w:r w:rsidRPr="00D81559">
        <w:t>CALLUM</w:t>
      </w:r>
      <w:proofErr w:type="spellEnd"/>
      <w:r w:rsidRPr="00D81559">
        <w:br/>
      </w:r>
      <w:r w:rsidR="006267D3" w:rsidRPr="00D81559">
        <w:t xml:space="preserve">against </w:t>
      </w:r>
      <w:r w:rsidRPr="00D81559">
        <w:t>Italy</w:t>
      </w:r>
    </w:p>
    <w:p w14:paraId="28F6826C" w14:textId="15B9BF2F" w:rsidR="00E93FC7" w:rsidRPr="00D81559" w:rsidRDefault="00EC6877" w:rsidP="00D81559">
      <w:pPr>
        <w:rPr>
          <w:sz w:val="2"/>
          <w:szCs w:val="2"/>
        </w:rPr>
      </w:pPr>
    </w:p>
    <w:p w14:paraId="13F6204F" w14:textId="77777777" w:rsidR="00AB3504" w:rsidRPr="00D81559" w:rsidRDefault="00AB3504" w:rsidP="00D81559">
      <w:pPr>
        <w:pStyle w:val="JuPara"/>
      </w:pPr>
      <w:r w:rsidRPr="00D81559">
        <w:t>The European Court of Human Rights, sitting on 21 September 2022 as a Grand Chamber composed of:</w:t>
      </w:r>
    </w:p>
    <w:p w14:paraId="64423D94" w14:textId="079BCA04" w:rsidR="00AB3504" w:rsidRPr="00D81559" w:rsidRDefault="00B10C93" w:rsidP="00D81559">
      <w:pPr>
        <w:pStyle w:val="JuJudges"/>
        <w:rPr>
          <w:i/>
          <w:lang w:val="nb-NO"/>
        </w:rPr>
      </w:pPr>
      <w:r w:rsidRPr="00D81559">
        <w:tab/>
      </w:r>
      <w:r w:rsidR="00AB3504" w:rsidRPr="00D81559">
        <w:rPr>
          <w:lang w:val="nb-NO"/>
        </w:rPr>
        <w:t>Jon Fridrik Kjølbro</w:t>
      </w:r>
      <w:r w:rsidR="00AB3504" w:rsidRPr="00D81559">
        <w:rPr>
          <w:i/>
          <w:lang w:val="nb-NO"/>
        </w:rPr>
        <w:t>, President,</w:t>
      </w:r>
    </w:p>
    <w:p w14:paraId="5C415086" w14:textId="7EA1BE6F" w:rsidR="00AB3504" w:rsidRPr="00D81559" w:rsidRDefault="00B10C93" w:rsidP="00D81559">
      <w:pPr>
        <w:pStyle w:val="JuJudges"/>
        <w:rPr>
          <w:i/>
          <w:lang w:val="nb-NO"/>
        </w:rPr>
      </w:pPr>
      <w:r w:rsidRPr="00D81559">
        <w:rPr>
          <w:lang w:val="nb-NO"/>
        </w:rPr>
        <w:tab/>
      </w:r>
      <w:r w:rsidR="00AB3504" w:rsidRPr="00D81559">
        <w:rPr>
          <w:lang w:val="nb-NO"/>
        </w:rPr>
        <w:t>Robert Spano</w:t>
      </w:r>
      <w:r w:rsidR="00AB3504" w:rsidRPr="00D81559">
        <w:rPr>
          <w:i/>
          <w:lang w:val="nb-NO"/>
        </w:rPr>
        <w:t>,</w:t>
      </w:r>
    </w:p>
    <w:p w14:paraId="50BB04E3" w14:textId="3CC5DF52" w:rsidR="00AB3504" w:rsidRPr="00D81559" w:rsidRDefault="00B10C93" w:rsidP="00D81559">
      <w:pPr>
        <w:pStyle w:val="JuJudges"/>
        <w:rPr>
          <w:i/>
          <w:lang w:val="nb-NO"/>
        </w:rPr>
      </w:pPr>
      <w:r w:rsidRPr="00D81559">
        <w:rPr>
          <w:lang w:val="nb-NO"/>
        </w:rPr>
        <w:tab/>
      </w:r>
      <w:r w:rsidR="00AB3504" w:rsidRPr="00D81559">
        <w:rPr>
          <w:lang w:val="nb-NO"/>
        </w:rPr>
        <w:t>Síofra O</w:t>
      </w:r>
      <w:r w:rsidR="00D91E18" w:rsidRPr="00D81559">
        <w:rPr>
          <w:lang w:val="nb-NO"/>
        </w:rPr>
        <w:t>’</w:t>
      </w:r>
      <w:r w:rsidR="00AB3504" w:rsidRPr="00D81559">
        <w:rPr>
          <w:lang w:val="nb-NO"/>
        </w:rPr>
        <w:t>Leary</w:t>
      </w:r>
      <w:r w:rsidR="00AB3504" w:rsidRPr="00D81559">
        <w:rPr>
          <w:i/>
          <w:lang w:val="nb-NO"/>
        </w:rPr>
        <w:t>,</w:t>
      </w:r>
    </w:p>
    <w:p w14:paraId="31B75AFF" w14:textId="756E3B2E" w:rsidR="00AB3504" w:rsidRPr="00D81559" w:rsidRDefault="00B10C93" w:rsidP="00D81559">
      <w:pPr>
        <w:pStyle w:val="JuJudges"/>
        <w:rPr>
          <w:i/>
          <w:lang w:val="nb-NO"/>
        </w:rPr>
      </w:pPr>
      <w:r w:rsidRPr="00D81559">
        <w:rPr>
          <w:lang w:val="nb-NO"/>
        </w:rPr>
        <w:tab/>
      </w:r>
      <w:r w:rsidR="00AB3504" w:rsidRPr="00D81559">
        <w:rPr>
          <w:lang w:val="nb-NO"/>
        </w:rPr>
        <w:t>Georges Ravarani</w:t>
      </w:r>
      <w:r w:rsidR="00AB3504" w:rsidRPr="00D81559">
        <w:rPr>
          <w:i/>
          <w:lang w:val="nb-NO"/>
        </w:rPr>
        <w:t>,</w:t>
      </w:r>
    </w:p>
    <w:p w14:paraId="622ABD01" w14:textId="20E15018" w:rsidR="00AB3504" w:rsidRPr="00D81559" w:rsidRDefault="00B10C93" w:rsidP="00D81559">
      <w:pPr>
        <w:pStyle w:val="JuJudges"/>
        <w:rPr>
          <w:i/>
          <w:lang w:val="nb-NO"/>
        </w:rPr>
      </w:pPr>
      <w:r w:rsidRPr="00D81559">
        <w:rPr>
          <w:lang w:val="nb-NO"/>
        </w:rPr>
        <w:tab/>
      </w:r>
      <w:r w:rsidR="00AB3504" w:rsidRPr="00D81559">
        <w:rPr>
          <w:lang w:val="nb-NO"/>
        </w:rPr>
        <w:t>Marko Bošnjak</w:t>
      </w:r>
      <w:r w:rsidR="00AB3504" w:rsidRPr="00D81559">
        <w:rPr>
          <w:i/>
          <w:lang w:val="nb-NO"/>
        </w:rPr>
        <w:t>,</w:t>
      </w:r>
    </w:p>
    <w:p w14:paraId="1CA1BD6F" w14:textId="7ECA7046" w:rsidR="00AB3504" w:rsidRPr="00D81559" w:rsidRDefault="00B10C93" w:rsidP="00D81559">
      <w:pPr>
        <w:pStyle w:val="JuJudges"/>
        <w:rPr>
          <w:i/>
          <w:lang w:val="nb-NO"/>
        </w:rPr>
      </w:pPr>
      <w:r w:rsidRPr="00D81559">
        <w:rPr>
          <w:lang w:val="nb-NO"/>
        </w:rPr>
        <w:tab/>
      </w:r>
      <w:r w:rsidR="00AB3504" w:rsidRPr="00D81559">
        <w:rPr>
          <w:lang w:val="nb-NO"/>
        </w:rPr>
        <w:t>Krzysztof Wojtyczek</w:t>
      </w:r>
      <w:r w:rsidR="00AB3504" w:rsidRPr="00D81559">
        <w:rPr>
          <w:i/>
          <w:lang w:val="nb-NO"/>
        </w:rPr>
        <w:t>,</w:t>
      </w:r>
    </w:p>
    <w:p w14:paraId="03ED1EA6" w14:textId="3742192D" w:rsidR="00AB3504" w:rsidRPr="00D81559" w:rsidRDefault="00B10C93" w:rsidP="00D81559">
      <w:pPr>
        <w:pStyle w:val="JuJudges"/>
        <w:rPr>
          <w:i/>
          <w:lang w:val="nb-NO"/>
        </w:rPr>
      </w:pPr>
      <w:r w:rsidRPr="00D81559">
        <w:rPr>
          <w:lang w:val="nb-NO"/>
        </w:rPr>
        <w:tab/>
      </w:r>
      <w:r w:rsidR="00AB3504" w:rsidRPr="00D81559">
        <w:rPr>
          <w:lang w:val="nb-NO"/>
        </w:rPr>
        <w:t>Yonko Grozev</w:t>
      </w:r>
      <w:r w:rsidR="00AB3504" w:rsidRPr="00D81559">
        <w:rPr>
          <w:i/>
          <w:lang w:val="nb-NO"/>
        </w:rPr>
        <w:t>,</w:t>
      </w:r>
    </w:p>
    <w:p w14:paraId="3ABD792F" w14:textId="7DCCB4FA" w:rsidR="00AB3504" w:rsidRPr="00D81559" w:rsidRDefault="00B10C93" w:rsidP="00D81559">
      <w:pPr>
        <w:pStyle w:val="JuJudges"/>
        <w:rPr>
          <w:i/>
          <w:lang w:val="nb-NO"/>
        </w:rPr>
      </w:pPr>
      <w:r w:rsidRPr="00D81559">
        <w:rPr>
          <w:lang w:val="nb-NO"/>
        </w:rPr>
        <w:tab/>
      </w:r>
      <w:r w:rsidR="00AB3504" w:rsidRPr="00D81559">
        <w:rPr>
          <w:lang w:val="nb-NO"/>
        </w:rPr>
        <w:t>Alena Poláčková</w:t>
      </w:r>
      <w:r w:rsidR="00AB3504" w:rsidRPr="00D81559">
        <w:rPr>
          <w:i/>
          <w:lang w:val="nb-NO"/>
        </w:rPr>
        <w:t>,</w:t>
      </w:r>
    </w:p>
    <w:p w14:paraId="11DEC05E" w14:textId="3147CEA9" w:rsidR="00AB3504" w:rsidRPr="00D81559" w:rsidRDefault="00B10C93" w:rsidP="00D81559">
      <w:pPr>
        <w:pStyle w:val="JuJudges"/>
        <w:rPr>
          <w:i/>
          <w:lang w:val="de-DE"/>
        </w:rPr>
      </w:pPr>
      <w:r w:rsidRPr="00D81559">
        <w:rPr>
          <w:lang w:val="nb-NO"/>
        </w:rPr>
        <w:tab/>
      </w:r>
      <w:r w:rsidR="00AB3504" w:rsidRPr="00D81559">
        <w:rPr>
          <w:lang w:val="de-DE"/>
        </w:rPr>
        <w:t>Tim Eicke</w:t>
      </w:r>
      <w:r w:rsidR="00AB3504" w:rsidRPr="00D81559">
        <w:rPr>
          <w:i/>
          <w:lang w:val="de-DE"/>
        </w:rPr>
        <w:t>,</w:t>
      </w:r>
    </w:p>
    <w:p w14:paraId="298683C8" w14:textId="2ACFFC57" w:rsidR="00AB3504" w:rsidRPr="00D81559" w:rsidRDefault="00B10C93" w:rsidP="00D81559">
      <w:pPr>
        <w:pStyle w:val="JuJudges"/>
        <w:rPr>
          <w:i/>
          <w:lang w:val="de-DE"/>
        </w:rPr>
      </w:pPr>
      <w:r w:rsidRPr="00D81559">
        <w:rPr>
          <w:lang w:val="de-DE"/>
        </w:rPr>
        <w:tab/>
      </w:r>
      <w:proofErr w:type="spellStart"/>
      <w:r w:rsidR="00AB3504" w:rsidRPr="00D81559">
        <w:rPr>
          <w:lang w:val="de-DE"/>
        </w:rPr>
        <w:t>Arnfinn</w:t>
      </w:r>
      <w:proofErr w:type="spellEnd"/>
      <w:r w:rsidR="00AB3504" w:rsidRPr="00D81559">
        <w:rPr>
          <w:lang w:val="de-DE"/>
        </w:rPr>
        <w:t xml:space="preserve"> </w:t>
      </w:r>
      <w:proofErr w:type="spellStart"/>
      <w:r w:rsidR="00AB3504" w:rsidRPr="00D81559">
        <w:rPr>
          <w:lang w:val="de-DE"/>
        </w:rPr>
        <w:t>Bårdsen</w:t>
      </w:r>
      <w:proofErr w:type="spellEnd"/>
      <w:r w:rsidR="00AB3504" w:rsidRPr="00D81559">
        <w:rPr>
          <w:i/>
          <w:lang w:val="de-DE"/>
        </w:rPr>
        <w:t>,</w:t>
      </w:r>
    </w:p>
    <w:p w14:paraId="287A5AE3" w14:textId="0810725F" w:rsidR="00AB3504" w:rsidRPr="00D81559" w:rsidRDefault="00B10C93" w:rsidP="00D81559">
      <w:pPr>
        <w:pStyle w:val="JuJudges"/>
        <w:rPr>
          <w:i/>
          <w:lang w:val="de-DE"/>
        </w:rPr>
      </w:pPr>
      <w:r w:rsidRPr="00D81559">
        <w:rPr>
          <w:lang w:val="de-DE"/>
        </w:rPr>
        <w:tab/>
      </w:r>
      <w:r w:rsidR="00AB3504" w:rsidRPr="00D81559">
        <w:rPr>
          <w:lang w:val="de-DE"/>
        </w:rPr>
        <w:t xml:space="preserve">Erik </w:t>
      </w:r>
      <w:proofErr w:type="spellStart"/>
      <w:r w:rsidR="00AB3504" w:rsidRPr="00D81559">
        <w:rPr>
          <w:lang w:val="de-DE"/>
        </w:rPr>
        <w:t>Wennerström</w:t>
      </w:r>
      <w:proofErr w:type="spellEnd"/>
      <w:r w:rsidR="00AB3504" w:rsidRPr="00D81559">
        <w:rPr>
          <w:i/>
          <w:lang w:val="de-DE"/>
        </w:rPr>
        <w:t>,</w:t>
      </w:r>
    </w:p>
    <w:p w14:paraId="78FD7806" w14:textId="7A00550A" w:rsidR="00AB3504" w:rsidRPr="00D81559" w:rsidRDefault="00B10C93" w:rsidP="00D81559">
      <w:pPr>
        <w:pStyle w:val="JuJudges"/>
        <w:rPr>
          <w:i/>
          <w:lang w:val="de-DE"/>
        </w:rPr>
      </w:pPr>
      <w:r w:rsidRPr="00D81559">
        <w:rPr>
          <w:lang w:val="de-DE"/>
        </w:rPr>
        <w:tab/>
      </w:r>
      <w:r w:rsidR="00AB3504" w:rsidRPr="00D81559">
        <w:rPr>
          <w:lang w:val="de-DE"/>
        </w:rPr>
        <w:t>Raffaele Sabato</w:t>
      </w:r>
      <w:r w:rsidR="00AB3504" w:rsidRPr="00D81559">
        <w:rPr>
          <w:i/>
          <w:lang w:val="de-DE"/>
        </w:rPr>
        <w:t>,</w:t>
      </w:r>
    </w:p>
    <w:p w14:paraId="2EF27BE9" w14:textId="79CB591D" w:rsidR="00AB3504" w:rsidRPr="00D81559" w:rsidRDefault="00B10C93" w:rsidP="00D81559">
      <w:pPr>
        <w:pStyle w:val="JuJudges"/>
        <w:rPr>
          <w:i/>
          <w:lang w:val="de-DE"/>
        </w:rPr>
      </w:pPr>
      <w:r w:rsidRPr="00D81559">
        <w:rPr>
          <w:lang w:val="de-DE"/>
        </w:rPr>
        <w:tab/>
      </w:r>
      <w:r w:rsidR="00AB3504" w:rsidRPr="00D81559">
        <w:rPr>
          <w:lang w:val="de-DE"/>
        </w:rPr>
        <w:t>Saadet Yüksel</w:t>
      </w:r>
      <w:r w:rsidR="00AB3504" w:rsidRPr="00D81559">
        <w:rPr>
          <w:i/>
          <w:lang w:val="de-DE"/>
        </w:rPr>
        <w:t>,</w:t>
      </w:r>
    </w:p>
    <w:p w14:paraId="27886BB1" w14:textId="0926B0BD" w:rsidR="00AB3504" w:rsidRPr="00D81559" w:rsidRDefault="00B10C93" w:rsidP="00D81559">
      <w:pPr>
        <w:pStyle w:val="JuJudges"/>
        <w:rPr>
          <w:i/>
          <w:lang w:val="de-DE"/>
        </w:rPr>
      </w:pPr>
      <w:r w:rsidRPr="00D81559">
        <w:rPr>
          <w:lang w:val="de-DE"/>
        </w:rPr>
        <w:tab/>
      </w:r>
      <w:r w:rsidR="00AB3504" w:rsidRPr="00D81559">
        <w:rPr>
          <w:lang w:val="de-DE"/>
        </w:rPr>
        <w:t>Anja Seibert-</w:t>
      </w:r>
      <w:proofErr w:type="spellStart"/>
      <w:r w:rsidR="00AB3504" w:rsidRPr="00D81559">
        <w:rPr>
          <w:lang w:val="de-DE"/>
        </w:rPr>
        <w:t>Fohr</w:t>
      </w:r>
      <w:proofErr w:type="spellEnd"/>
      <w:r w:rsidR="00AB3504" w:rsidRPr="00D81559">
        <w:rPr>
          <w:i/>
          <w:lang w:val="de-DE"/>
        </w:rPr>
        <w:t>,</w:t>
      </w:r>
    </w:p>
    <w:p w14:paraId="37983B2B" w14:textId="2C56F83C" w:rsidR="00AB3504" w:rsidRPr="00D81559" w:rsidRDefault="00B10C93" w:rsidP="00D81559">
      <w:pPr>
        <w:pStyle w:val="JuJudges"/>
        <w:rPr>
          <w:i/>
          <w:lang w:val="pt-PT"/>
        </w:rPr>
      </w:pPr>
      <w:r w:rsidRPr="00D81559">
        <w:rPr>
          <w:lang w:val="de-DE"/>
        </w:rPr>
        <w:tab/>
      </w:r>
      <w:r w:rsidR="00AB3504" w:rsidRPr="00D81559">
        <w:rPr>
          <w:lang w:val="pt-PT"/>
        </w:rPr>
        <w:t>Peeter Roosma</w:t>
      </w:r>
      <w:r w:rsidR="00AB3504" w:rsidRPr="00D81559">
        <w:rPr>
          <w:i/>
          <w:lang w:val="pt-PT"/>
        </w:rPr>
        <w:t>,</w:t>
      </w:r>
    </w:p>
    <w:p w14:paraId="6622C09A" w14:textId="1F7DEAC5" w:rsidR="00AB3504" w:rsidRPr="00D81559" w:rsidRDefault="00B10C93" w:rsidP="00D81559">
      <w:pPr>
        <w:pStyle w:val="JuJudges"/>
        <w:rPr>
          <w:i/>
          <w:lang w:val="pt-PT"/>
        </w:rPr>
      </w:pPr>
      <w:r w:rsidRPr="00D81559">
        <w:rPr>
          <w:lang w:val="pt-PT"/>
        </w:rPr>
        <w:tab/>
      </w:r>
      <w:r w:rsidR="00AB3504" w:rsidRPr="00D81559">
        <w:rPr>
          <w:lang w:val="pt-PT"/>
        </w:rPr>
        <w:t>Ana Maria Guerra Martins</w:t>
      </w:r>
      <w:r w:rsidR="00AB3504" w:rsidRPr="00D81559">
        <w:rPr>
          <w:i/>
          <w:lang w:val="pt-PT"/>
        </w:rPr>
        <w:t>,</w:t>
      </w:r>
    </w:p>
    <w:p w14:paraId="5E43C7EF" w14:textId="3CA43A4B" w:rsidR="00AB3504" w:rsidRPr="00D81559" w:rsidRDefault="00B10C93" w:rsidP="00D81559">
      <w:pPr>
        <w:pStyle w:val="JuJudges"/>
        <w:rPr>
          <w:i/>
        </w:rPr>
      </w:pPr>
      <w:r w:rsidRPr="00D81559">
        <w:rPr>
          <w:lang w:val="pt-PT"/>
        </w:rPr>
        <w:tab/>
      </w:r>
      <w:proofErr w:type="spellStart"/>
      <w:r w:rsidR="00AB3504" w:rsidRPr="00D81559">
        <w:t>Ioannis</w:t>
      </w:r>
      <w:proofErr w:type="spellEnd"/>
      <w:r w:rsidR="00AB3504" w:rsidRPr="00D81559">
        <w:t xml:space="preserve"> </w:t>
      </w:r>
      <w:proofErr w:type="spellStart"/>
      <w:r w:rsidR="00AB3504" w:rsidRPr="00D81559">
        <w:t>Ktistakis</w:t>
      </w:r>
      <w:proofErr w:type="spellEnd"/>
      <w:r w:rsidR="00AB3504" w:rsidRPr="00D81559">
        <w:rPr>
          <w:i/>
        </w:rPr>
        <w:t>, Judges,</w:t>
      </w:r>
    </w:p>
    <w:p w14:paraId="6959FC8E" w14:textId="77777777" w:rsidR="00AB3504" w:rsidRPr="00D81559" w:rsidRDefault="00AB3504" w:rsidP="00D81559">
      <w:pPr>
        <w:pStyle w:val="JuJudges"/>
      </w:pPr>
      <w:r w:rsidRPr="00D81559">
        <w:t xml:space="preserve">and Johan Callewaert, </w:t>
      </w:r>
      <w:r w:rsidRPr="00D81559">
        <w:rPr>
          <w:i/>
          <w:iCs/>
        </w:rPr>
        <w:t>Deputy Grand Chamber Registrar</w:t>
      </w:r>
      <w:r w:rsidRPr="00D81559">
        <w:t>,</w:t>
      </w:r>
    </w:p>
    <w:p w14:paraId="3C3AC088" w14:textId="77777777" w:rsidR="00AB3504" w:rsidRPr="00D81559" w:rsidRDefault="00AB3504" w:rsidP="00D81559">
      <w:pPr>
        <w:pStyle w:val="JuPara"/>
      </w:pPr>
      <w:r w:rsidRPr="00D81559">
        <w:t>Having regard to the above application lodged on 22 April 2021,</w:t>
      </w:r>
    </w:p>
    <w:p w14:paraId="34F8FF4B" w14:textId="77777777" w:rsidR="00AB3504" w:rsidRPr="00D81559" w:rsidRDefault="00AB3504" w:rsidP="00D81559">
      <w:pPr>
        <w:pStyle w:val="JuPara"/>
      </w:pPr>
      <w:r w:rsidRPr="00D81559">
        <w:t>Having deliberated on 24 February and 21 September 2022, decides as follows:</w:t>
      </w:r>
    </w:p>
    <w:p w14:paraId="4F66AA93" w14:textId="45E469C2" w:rsidR="00AB3504" w:rsidRPr="00D81559" w:rsidRDefault="00AB3504" w:rsidP="00D81559">
      <w:pPr>
        <w:pStyle w:val="JuHHead"/>
      </w:pPr>
      <w:r w:rsidRPr="00D81559">
        <w:t>PROCEDURE</w:t>
      </w:r>
    </w:p>
    <w:p w14:paraId="30AAAA70" w14:textId="74F03774" w:rsidR="00AB3504" w:rsidRPr="00D81559" w:rsidRDefault="00AB3504" w:rsidP="00D81559">
      <w:pPr>
        <w:pStyle w:val="JuPara"/>
      </w:pPr>
      <w:r w:rsidRPr="00D81559">
        <w:fldChar w:fldCharType="begin"/>
      </w:r>
      <w:r w:rsidRPr="00D81559">
        <w:instrText xml:space="preserve"> SEQ level0 \*arabic \r1 </w:instrText>
      </w:r>
      <w:r w:rsidRPr="00D81559">
        <w:fldChar w:fldCharType="separate"/>
      </w:r>
      <w:r w:rsidR="00D81559" w:rsidRPr="00D81559">
        <w:rPr>
          <w:noProof/>
        </w:rPr>
        <w:t>1</w:t>
      </w:r>
      <w:r w:rsidRPr="00D81559">
        <w:fldChar w:fldCharType="end"/>
      </w:r>
      <w:r w:rsidRPr="00D81559">
        <w:t xml:space="preserve">.  The case originated in an application (no. 20863/21) against the Italian Republic lodged with the Court under Article 34 of the Convention for the </w:t>
      </w:r>
      <w:r w:rsidRPr="00D81559">
        <w:lastRenderedPageBreak/>
        <w:t>Protection of Human Rights and Fundamental Freedoms (“the Convention”) by an American national, Ms Beverly McCallum (“the applicant”), on 22 April 2021.</w:t>
      </w:r>
    </w:p>
    <w:p w14:paraId="1E5946C8" w14:textId="67EA5BD2"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w:t>
      </w:r>
      <w:r>
        <w:rPr>
          <w:noProof/>
        </w:rPr>
        <w:fldChar w:fldCharType="end"/>
      </w:r>
      <w:r w:rsidR="00AB3504" w:rsidRPr="00D81559">
        <w:t>.  The applicant was represented by Mr W. De Agostino and Ms M. S. Mori, lawyers practising in Rome and Milan respectively. The Italian Government (“the Government”) were represented by their Agent, Mr</w:t>
      </w:r>
      <w:r w:rsidR="00AB3504" w:rsidRPr="00D81559">
        <w:rPr>
          <w:rFonts w:eastAsia="Times New Roman" w:cs="Times New Roman"/>
        </w:rPr>
        <w:t> L. </w:t>
      </w:r>
      <w:proofErr w:type="spellStart"/>
      <w:r w:rsidR="00AB3504" w:rsidRPr="00D81559">
        <w:rPr>
          <w:rFonts w:eastAsia="Times New Roman" w:cs="Times New Roman"/>
        </w:rPr>
        <w:t>D</w:t>
      </w:r>
      <w:r w:rsidR="00D91E18" w:rsidRPr="00D81559">
        <w:rPr>
          <w:rFonts w:eastAsia="Times New Roman" w:cs="Times New Roman"/>
        </w:rPr>
        <w:t>’</w:t>
      </w:r>
      <w:r w:rsidR="00AB3504" w:rsidRPr="00D81559">
        <w:rPr>
          <w:rFonts w:eastAsia="Times New Roman" w:cs="Times New Roman"/>
        </w:rPr>
        <w:t>Ascia</w:t>
      </w:r>
      <w:proofErr w:type="spellEnd"/>
      <w:r w:rsidR="00AB3504" w:rsidRPr="00D81559">
        <w:t xml:space="preserve"> and by Mr E. </w:t>
      </w:r>
      <w:proofErr w:type="spellStart"/>
      <w:r w:rsidR="00AB3504" w:rsidRPr="00D81559">
        <w:t>Cucchiara</w:t>
      </w:r>
      <w:proofErr w:type="spellEnd"/>
      <w:r w:rsidR="00AB3504" w:rsidRPr="00D81559">
        <w:t>, State Procurator.</w:t>
      </w:r>
    </w:p>
    <w:bookmarkStart w:id="1" w:name="Rule_39_applied"/>
    <w:p w14:paraId="61FD340E" w14:textId="7EC42C8B" w:rsidR="00AB3504" w:rsidRPr="00D81559" w:rsidRDefault="00AB3504" w:rsidP="00D81559">
      <w:pPr>
        <w:pStyle w:val="JuPara"/>
      </w:pPr>
      <w:r w:rsidRPr="00D81559">
        <w:fldChar w:fldCharType="begin"/>
      </w:r>
      <w:r w:rsidRPr="00D81559">
        <w:instrText xml:space="preserve"> SEQ level0 \*arabic \* MERGEFORMAT </w:instrText>
      </w:r>
      <w:r w:rsidRPr="00D81559">
        <w:fldChar w:fldCharType="separate"/>
      </w:r>
      <w:r w:rsidR="00D81559" w:rsidRPr="00D81559">
        <w:rPr>
          <w:noProof/>
        </w:rPr>
        <w:t>3</w:t>
      </w:r>
      <w:r w:rsidRPr="00D81559">
        <w:fldChar w:fldCharType="end"/>
      </w:r>
      <w:bookmarkEnd w:id="1"/>
      <w:r w:rsidRPr="00D81559">
        <w:t>.  On the same date that the applicant filed her application, she also requested an interim measure under Rule 39 of the Rules of Court. The duty judge accepted the request and indicated to the Government that the applicant</w:t>
      </w:r>
      <w:r w:rsidR="00D91E18" w:rsidRPr="00D81559">
        <w:t>’</w:t>
      </w:r>
      <w:r w:rsidRPr="00D81559">
        <w:t>s extradition should be stayed until 7 May 2021. On that date the duty judge prolonged the interim measure until 28 May 2021.</w:t>
      </w:r>
    </w:p>
    <w:p w14:paraId="49C2EF47" w14:textId="5E7D1E3F" w:rsidR="00AB3504" w:rsidRPr="00D81559" w:rsidRDefault="00EC6877" w:rsidP="00D81559">
      <w:pPr>
        <w:pStyle w:val="JuPara"/>
      </w:pPr>
      <w:r>
        <w:fldChar w:fldCharType="begin"/>
      </w:r>
      <w:r>
        <w:instrText xml:space="preserve"> SEQ level0 \*arabic \* MERGEFORMAT </w:instrText>
      </w:r>
      <w:r>
        <w:fldChar w:fldCharType="separate"/>
      </w:r>
      <w:bookmarkStart w:id="2" w:name="paragraph00004"/>
      <w:r w:rsidR="00D81559" w:rsidRPr="00D81559">
        <w:rPr>
          <w:noProof/>
        </w:rPr>
        <w:t>4</w:t>
      </w:r>
      <w:bookmarkEnd w:id="2"/>
      <w:r>
        <w:rPr>
          <w:noProof/>
        </w:rPr>
        <w:fldChar w:fldCharType="end"/>
      </w:r>
      <w:r w:rsidR="00AB3504" w:rsidRPr="00D81559">
        <w:t>.  The case was allocated to the First Section of the Court, pursuant to Rule 52 § 1 of the Rules of Court. A Chamber of that Section decided on 25 May 2021 to maintain the interim measure in force for the duration of the proceedings before the Court.</w:t>
      </w:r>
    </w:p>
    <w:p w14:paraId="566249BD" w14:textId="0B09DD64"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5</w:t>
      </w:r>
      <w:r>
        <w:rPr>
          <w:noProof/>
        </w:rPr>
        <w:fldChar w:fldCharType="end"/>
      </w:r>
      <w:r w:rsidR="00AB3504" w:rsidRPr="00D81559">
        <w:t xml:space="preserve">.  The President of the First Section granted leave to intervene as third parties in the proceedings to Professors D. </w:t>
      </w:r>
      <w:proofErr w:type="spellStart"/>
      <w:r w:rsidR="00AB3504" w:rsidRPr="00D81559">
        <w:t>Galliani</w:t>
      </w:r>
      <w:proofErr w:type="spellEnd"/>
      <w:r w:rsidR="00AB3504" w:rsidRPr="00D81559">
        <w:t>, D. van Zyl Smit and P. </w:t>
      </w:r>
      <w:proofErr w:type="spellStart"/>
      <w:r w:rsidR="00AB3504" w:rsidRPr="00D81559">
        <w:t>Reingold</w:t>
      </w:r>
      <w:proofErr w:type="spellEnd"/>
      <w:r w:rsidR="00AB3504" w:rsidRPr="00D81559">
        <w:t xml:space="preserve"> (jointly), and also to the Government of the United Kingdom (Rule 44 </w:t>
      </w:r>
      <w:r w:rsidR="00AB3504" w:rsidRPr="00D81559">
        <w:rPr>
          <w:rFonts w:cstheme="minorHAnsi"/>
        </w:rPr>
        <w:t>§</w:t>
      </w:r>
      <w:r w:rsidR="00AB3504" w:rsidRPr="00D81559">
        <w:t xml:space="preserve"> 3(a) of the Rules of Court). Written submissions were received from both intervenors.</w:t>
      </w:r>
    </w:p>
    <w:p w14:paraId="13B3B46D" w14:textId="4D8F7919" w:rsidR="00AB3504" w:rsidRPr="00D81559" w:rsidRDefault="009B4E21" w:rsidP="00D81559">
      <w:pPr>
        <w:pStyle w:val="JuPara"/>
      </w:pPr>
      <w:r>
        <w:rPr>
          <w:noProof/>
        </w:rPr>
        <w:fldChar w:fldCharType="begin"/>
      </w:r>
      <w:r>
        <w:rPr>
          <w:noProof/>
        </w:rPr>
        <w:instrText xml:space="preserve"> SEQ level0 \*arabic \* MERGEFORMAT </w:instrText>
      </w:r>
      <w:r>
        <w:rPr>
          <w:noProof/>
        </w:rPr>
        <w:fldChar w:fldCharType="separate"/>
      </w:r>
      <w:r w:rsidR="00D81559" w:rsidRPr="00D81559">
        <w:rPr>
          <w:noProof/>
        </w:rPr>
        <w:t>6</w:t>
      </w:r>
      <w:r>
        <w:rPr>
          <w:noProof/>
        </w:rPr>
        <w:fldChar w:fldCharType="end"/>
      </w:r>
      <w:r w:rsidR="00AB3504" w:rsidRPr="00D81559">
        <w:t>.  On 7 September 2021, the Chamber decided to relinquish jurisdiction in favour of the Grand Chamber (Article 30 of the Convention).</w:t>
      </w:r>
    </w:p>
    <w:p w14:paraId="701D6820" w14:textId="6C6A4168" w:rsidR="00AB3504" w:rsidRPr="00D81559" w:rsidRDefault="009B4E21" w:rsidP="00D81559">
      <w:pPr>
        <w:pStyle w:val="JuPara"/>
      </w:pPr>
      <w:r>
        <w:rPr>
          <w:noProof/>
        </w:rPr>
        <w:fldChar w:fldCharType="begin"/>
      </w:r>
      <w:r>
        <w:rPr>
          <w:noProof/>
        </w:rPr>
        <w:instrText xml:space="preserve"> SEQ level0 \*arabic \* MERGEFORMAT </w:instrText>
      </w:r>
      <w:r>
        <w:rPr>
          <w:noProof/>
        </w:rPr>
        <w:fldChar w:fldCharType="separate"/>
      </w:r>
      <w:r w:rsidR="00D81559" w:rsidRPr="00D81559">
        <w:rPr>
          <w:noProof/>
        </w:rPr>
        <w:t>7</w:t>
      </w:r>
      <w:r>
        <w:rPr>
          <w:noProof/>
        </w:rPr>
        <w:fldChar w:fldCharType="end"/>
      </w:r>
      <w:r w:rsidR="00AB3504" w:rsidRPr="00D81559">
        <w:t>.  The abovementioned intervenors filed new submissions. Submissions were also received from the association Hands Off Cain, which had been granted leave to intervene as a third party by the President of the Grand Chamber.</w:t>
      </w:r>
    </w:p>
    <w:p w14:paraId="33308C1C" w14:textId="449F56EF"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8</w:t>
      </w:r>
      <w:r>
        <w:rPr>
          <w:noProof/>
        </w:rPr>
        <w:fldChar w:fldCharType="end"/>
      </w:r>
      <w:r w:rsidR="00AB3504" w:rsidRPr="00D81559">
        <w:t>.  On 4 November 2021 the Government requested the lifting of the interim measure, arguing that the maximum period of detention permitted by domestic law would expire on 8 December 2021, at which point the Italian authorities would not be able to prevent the applicant from fleeing and evading extradition. The Grand Chamber decided to maintain the interim measure.</w:t>
      </w:r>
    </w:p>
    <w:bookmarkStart w:id="3" w:name="Rule_39_lifted"/>
    <w:p w14:paraId="687BEB02" w14:textId="2995A9A8" w:rsidR="00AB3504" w:rsidRPr="00D81559" w:rsidRDefault="00AB3504" w:rsidP="00D81559">
      <w:pPr>
        <w:pStyle w:val="JuPara"/>
      </w:pPr>
      <w:r w:rsidRPr="00D81559">
        <w:fldChar w:fldCharType="begin"/>
      </w:r>
      <w:r w:rsidRPr="00D81559">
        <w:instrText xml:space="preserve"> SEQ level0 \*arabic \* MERGEFORMAT </w:instrText>
      </w:r>
      <w:r w:rsidRPr="00D81559">
        <w:fldChar w:fldCharType="separate"/>
      </w:r>
      <w:r w:rsidR="00D81559" w:rsidRPr="00D81559">
        <w:rPr>
          <w:noProof/>
        </w:rPr>
        <w:t>9</w:t>
      </w:r>
      <w:r w:rsidRPr="00D81559">
        <w:fldChar w:fldCharType="end"/>
      </w:r>
      <w:bookmarkEnd w:id="3"/>
      <w:r w:rsidRPr="00D81559">
        <w:t>.  The Government again requested the lifting of the interim measure, on 7</w:t>
      </w:r>
      <w:r w:rsidR="00D81559">
        <w:t> </w:t>
      </w:r>
      <w:r w:rsidRPr="00D81559">
        <w:t xml:space="preserve">December 2021, having regard to a new development in the extradition proceedings (see paragraphs </w:t>
      </w:r>
      <w:r w:rsidR="008C1DDD" w:rsidRPr="00D81559">
        <w:fldChar w:fldCharType="begin"/>
      </w:r>
      <w:r w:rsidR="008C1DDD" w:rsidRPr="00D81559">
        <w:instrText xml:space="preserve"> REF paragraph00028 \h  \* CharFormat </w:instrText>
      </w:r>
      <w:r w:rsidR="008C1DDD" w:rsidRPr="00D81559">
        <w:fldChar w:fldCharType="separate"/>
      </w:r>
      <w:r w:rsidR="00D81559" w:rsidRPr="00D81559">
        <w:t>28</w:t>
      </w:r>
      <w:r w:rsidR="008C1DDD" w:rsidRPr="00D81559">
        <w:fldChar w:fldCharType="end"/>
      </w:r>
      <w:r w:rsidRPr="00D81559">
        <w:t>-</w:t>
      </w:r>
      <w:r w:rsidR="008C1DDD" w:rsidRPr="00D81559">
        <w:fldChar w:fldCharType="begin"/>
      </w:r>
      <w:r w:rsidR="008C1DDD" w:rsidRPr="00D81559">
        <w:instrText xml:space="preserve"> REF paragraph00029 \h  \* CharFormat </w:instrText>
      </w:r>
      <w:r w:rsidR="008C1DDD" w:rsidRPr="00D81559">
        <w:fldChar w:fldCharType="separate"/>
      </w:r>
      <w:r w:rsidR="00D81559" w:rsidRPr="00D81559">
        <w:t>29</w:t>
      </w:r>
      <w:r w:rsidR="008C1DDD" w:rsidRPr="00D81559">
        <w:fldChar w:fldCharType="end"/>
      </w:r>
      <w:r w:rsidRPr="00D81559">
        <w:t xml:space="preserve"> below). In light of the parties</w:t>
      </w:r>
      <w:r w:rsidR="00D91E18" w:rsidRPr="00D81559">
        <w:t>’</w:t>
      </w:r>
      <w:r w:rsidRPr="00D81559">
        <w:t xml:space="preserve"> submissions on this development, the Grand Chamber decided on 21 January 2022 to lift the interim measure.</w:t>
      </w:r>
    </w:p>
    <w:p w14:paraId="74F38796" w14:textId="53F32C2E"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10</w:t>
      </w:r>
      <w:r>
        <w:rPr>
          <w:noProof/>
        </w:rPr>
        <w:fldChar w:fldCharType="end"/>
      </w:r>
      <w:r w:rsidR="00AB3504" w:rsidRPr="00D81559">
        <w:t>.  For her part the applicant requested, on 7 December 2021, an interim measure preventing her extradition on account of the state of her health. This was rejected by the President of the Grand Chamber on 21 January 2022. The applicant again filed a request for an interim measure on health grounds on 30</w:t>
      </w:r>
      <w:r w:rsidR="00D81559">
        <w:t> </w:t>
      </w:r>
      <w:r w:rsidR="00AB3504" w:rsidRPr="00D81559">
        <w:t>June 2022, which the President of the Grand Chamber rejected on 4 July 2022.</w:t>
      </w:r>
    </w:p>
    <w:p w14:paraId="3DA579DB" w14:textId="60C2BBAE" w:rsidR="00AB3504" w:rsidRPr="00D81559" w:rsidRDefault="00AB3504" w:rsidP="00D81559">
      <w:pPr>
        <w:pStyle w:val="JuPara"/>
      </w:pPr>
      <w:r w:rsidRPr="00D81559">
        <w:lastRenderedPageBreak/>
        <w:fldChar w:fldCharType="begin"/>
      </w:r>
      <w:r w:rsidRPr="00D81559">
        <w:instrText xml:space="preserve"> SEQ level0 \*arabic </w:instrText>
      </w:r>
      <w:r w:rsidRPr="00D81559">
        <w:fldChar w:fldCharType="separate"/>
      </w:r>
      <w:r w:rsidR="00D81559" w:rsidRPr="00D81559">
        <w:rPr>
          <w:noProof/>
        </w:rPr>
        <w:t>11</w:t>
      </w:r>
      <w:r w:rsidRPr="00D81559">
        <w:fldChar w:fldCharType="end"/>
      </w:r>
      <w:r w:rsidRPr="00D81559">
        <w:t>.  A hearing took place in public in the Human Rights Building, Strasbourg, on 23 February 2022.</w:t>
      </w:r>
    </w:p>
    <w:p w14:paraId="1040A3D9" w14:textId="77777777" w:rsidR="00AB3504" w:rsidRPr="00D81559" w:rsidRDefault="00AB3504" w:rsidP="00D81559">
      <w:pPr>
        <w:pStyle w:val="JuPara"/>
      </w:pPr>
      <w:r w:rsidRPr="00D81559">
        <w:t>There appeared before the Court:</w:t>
      </w:r>
    </w:p>
    <w:p w14:paraId="1ADA74C8" w14:textId="30757DC3" w:rsidR="00AB3504" w:rsidRPr="00D81559" w:rsidRDefault="00AB3504" w:rsidP="00D81559">
      <w:pPr>
        <w:tabs>
          <w:tab w:val="left" w:pos="907"/>
          <w:tab w:val="left" w:pos="1701"/>
          <w:tab w:val="right" w:pos="7371"/>
        </w:tabs>
        <w:spacing w:before="240"/>
        <w:ind w:left="397" w:hanging="397"/>
        <w:rPr>
          <w:lang w:bidi="en-US"/>
        </w:rPr>
      </w:pPr>
      <w:r w:rsidRPr="00D81559">
        <w:rPr>
          <w:lang w:bidi="en-US"/>
        </w:rPr>
        <w:t>(a)  </w:t>
      </w:r>
      <w:r w:rsidRPr="00D81559">
        <w:rPr>
          <w:rStyle w:val="JuParaChar"/>
          <w:i/>
          <w:iCs/>
        </w:rPr>
        <w:t>for the Government</w:t>
      </w:r>
      <w:r w:rsidRPr="00D81559">
        <w:rPr>
          <w:lang w:bidi="en-US"/>
        </w:rPr>
        <w:br/>
        <w:t>Mr</w:t>
      </w:r>
      <w:r w:rsidRPr="00D81559">
        <w:rPr>
          <w:lang w:bidi="en-US"/>
        </w:rPr>
        <w:tab/>
      </w:r>
      <w:r w:rsidRPr="00D81559">
        <w:rPr>
          <w:rFonts w:cstheme="minorHAnsi"/>
          <w:smallCaps/>
          <w:lang w:bidi="en-US"/>
        </w:rPr>
        <w:t xml:space="preserve">l. </w:t>
      </w:r>
      <w:proofErr w:type="spellStart"/>
      <w:r w:rsidRPr="00D81559">
        <w:rPr>
          <w:rFonts w:cstheme="minorHAnsi"/>
          <w:smallCaps/>
          <w:lang w:bidi="en-US"/>
        </w:rPr>
        <w:t>d</w:t>
      </w:r>
      <w:r w:rsidR="00D91E18" w:rsidRPr="00D81559">
        <w:rPr>
          <w:rFonts w:cstheme="minorHAnsi"/>
          <w:smallCaps/>
          <w:lang w:bidi="en-US"/>
        </w:rPr>
        <w:t>’</w:t>
      </w:r>
      <w:r w:rsidRPr="00D81559">
        <w:rPr>
          <w:rFonts w:cstheme="minorHAnsi"/>
          <w:smallCaps/>
          <w:lang w:bidi="en-US"/>
        </w:rPr>
        <w:t>ascia</w:t>
      </w:r>
      <w:proofErr w:type="spellEnd"/>
      <w:r w:rsidRPr="00D81559">
        <w:rPr>
          <w:rFonts w:cstheme="minorHAnsi"/>
          <w:smallCaps/>
          <w:lang w:bidi="en-US"/>
        </w:rPr>
        <w:t>,</w:t>
      </w:r>
      <w:r w:rsidRPr="00D81559">
        <w:rPr>
          <w:smallCaps/>
          <w:lang w:bidi="en-US"/>
        </w:rPr>
        <w:t xml:space="preserve"> </w:t>
      </w:r>
      <w:r w:rsidRPr="00D81559">
        <w:rPr>
          <w:lang w:bidi="en-US"/>
        </w:rPr>
        <w:tab/>
      </w:r>
      <w:r w:rsidRPr="00D81559">
        <w:rPr>
          <w:rStyle w:val="JuParaChar"/>
          <w:i/>
          <w:iCs/>
        </w:rPr>
        <w:t>Agent</w:t>
      </w:r>
      <w:r w:rsidRPr="00D81559">
        <w:rPr>
          <w:iCs/>
          <w:lang w:bidi="en-US"/>
        </w:rPr>
        <w:t>,</w:t>
      </w:r>
      <w:r w:rsidRPr="00D81559">
        <w:rPr>
          <w:iCs/>
          <w:lang w:bidi="en-US"/>
        </w:rPr>
        <w:br/>
      </w:r>
      <w:r w:rsidRPr="00D81559">
        <w:rPr>
          <w:lang w:bidi="en-US"/>
        </w:rPr>
        <w:t>Mr</w:t>
      </w:r>
      <w:r w:rsidRPr="00D81559">
        <w:rPr>
          <w:lang w:bidi="en-US"/>
        </w:rPr>
        <w:tab/>
      </w:r>
      <w:r w:rsidRPr="00D81559">
        <w:rPr>
          <w:rFonts w:cstheme="minorHAnsi"/>
          <w:smallCaps/>
          <w:lang w:bidi="en-US"/>
        </w:rPr>
        <w:t xml:space="preserve">e. </w:t>
      </w:r>
      <w:proofErr w:type="spellStart"/>
      <w:r w:rsidRPr="00D81559">
        <w:rPr>
          <w:rFonts w:cstheme="minorHAnsi"/>
          <w:smallCaps/>
          <w:lang w:bidi="en-US"/>
        </w:rPr>
        <w:t>cucchiara</w:t>
      </w:r>
      <w:proofErr w:type="spellEnd"/>
      <w:r w:rsidRPr="00D81559">
        <w:rPr>
          <w:lang w:bidi="en-US"/>
        </w:rPr>
        <w:t xml:space="preserve">, </w:t>
      </w:r>
      <w:r w:rsidRPr="00D81559">
        <w:rPr>
          <w:lang w:bidi="en-US"/>
        </w:rPr>
        <w:tab/>
      </w:r>
      <w:r w:rsidRPr="00D81559">
        <w:rPr>
          <w:rStyle w:val="JuParaChar"/>
          <w:i/>
          <w:iCs/>
        </w:rPr>
        <w:t>Counsel</w:t>
      </w:r>
      <w:r w:rsidRPr="00D81559">
        <w:rPr>
          <w:iCs/>
          <w:lang w:bidi="en-US"/>
        </w:rPr>
        <w:t>;</w:t>
      </w:r>
    </w:p>
    <w:p w14:paraId="49BED1EE" w14:textId="77777777" w:rsidR="00AB3504" w:rsidRPr="00D81559" w:rsidRDefault="00AB3504" w:rsidP="00D81559">
      <w:pPr>
        <w:tabs>
          <w:tab w:val="left" w:pos="907"/>
          <w:tab w:val="left" w:pos="1701"/>
          <w:tab w:val="right" w:pos="7371"/>
        </w:tabs>
        <w:spacing w:before="240"/>
        <w:ind w:left="397" w:hanging="397"/>
        <w:rPr>
          <w:i/>
          <w:iCs/>
          <w:lang w:bidi="en-US"/>
        </w:rPr>
      </w:pPr>
      <w:r w:rsidRPr="00D81559">
        <w:rPr>
          <w:lang w:bidi="en-US"/>
        </w:rPr>
        <w:t>(b)  </w:t>
      </w:r>
      <w:r w:rsidRPr="00D81559">
        <w:rPr>
          <w:rStyle w:val="JuParaChar"/>
          <w:i/>
          <w:iCs/>
        </w:rPr>
        <w:t>for the applicant</w:t>
      </w:r>
      <w:r w:rsidRPr="00D81559">
        <w:rPr>
          <w:lang w:bidi="en-US"/>
        </w:rPr>
        <w:br/>
        <w:t>Mr</w:t>
      </w:r>
      <w:r w:rsidRPr="00D81559">
        <w:rPr>
          <w:lang w:bidi="en-US"/>
        </w:rPr>
        <w:tab/>
      </w:r>
      <w:r w:rsidRPr="00D81559">
        <w:rPr>
          <w:rFonts w:cstheme="minorHAnsi"/>
          <w:smallCaps/>
          <w:lang w:bidi="en-US"/>
        </w:rPr>
        <w:t xml:space="preserve">w. de </w:t>
      </w:r>
      <w:proofErr w:type="spellStart"/>
      <w:r w:rsidRPr="00D81559">
        <w:rPr>
          <w:rFonts w:cstheme="minorHAnsi"/>
          <w:smallCaps/>
          <w:lang w:bidi="en-US"/>
        </w:rPr>
        <w:t>agostino</w:t>
      </w:r>
      <w:proofErr w:type="spellEnd"/>
      <w:r w:rsidRPr="00D81559">
        <w:rPr>
          <w:smallCaps/>
          <w:lang w:bidi="en-US"/>
        </w:rPr>
        <w:t>,</w:t>
      </w:r>
      <w:r w:rsidRPr="00D81559">
        <w:rPr>
          <w:lang w:bidi="en-US"/>
        </w:rPr>
        <w:t xml:space="preserve"> </w:t>
      </w:r>
      <w:r w:rsidRPr="00D81559">
        <w:rPr>
          <w:lang w:bidi="en-US"/>
        </w:rPr>
        <w:br/>
        <w:t>Ms</w:t>
      </w:r>
      <w:r w:rsidRPr="00D81559">
        <w:rPr>
          <w:lang w:bidi="en-US"/>
        </w:rPr>
        <w:tab/>
      </w:r>
      <w:r w:rsidRPr="00D81559">
        <w:rPr>
          <w:rFonts w:cstheme="minorHAnsi"/>
          <w:smallCaps/>
          <w:lang w:bidi="en-US"/>
        </w:rPr>
        <w:t>m. s. mori</w:t>
      </w:r>
      <w:r w:rsidRPr="00D81559">
        <w:rPr>
          <w:lang w:bidi="en-US"/>
        </w:rPr>
        <w:t xml:space="preserve">, </w:t>
      </w:r>
      <w:r w:rsidRPr="00D81559">
        <w:rPr>
          <w:lang w:bidi="en-US"/>
        </w:rPr>
        <w:tab/>
      </w:r>
      <w:r w:rsidRPr="00D81559">
        <w:rPr>
          <w:rStyle w:val="JuParaChar"/>
          <w:i/>
          <w:iCs/>
        </w:rPr>
        <w:t>Counsel</w:t>
      </w:r>
      <w:r w:rsidRPr="00D81559">
        <w:rPr>
          <w:i/>
          <w:iCs/>
          <w:lang w:bidi="en-US"/>
        </w:rPr>
        <w:t>,</w:t>
      </w:r>
    </w:p>
    <w:p w14:paraId="388876EC" w14:textId="77777777" w:rsidR="00AB3504" w:rsidRPr="00D81559" w:rsidRDefault="00AB3504" w:rsidP="00D81559">
      <w:pPr>
        <w:tabs>
          <w:tab w:val="left" w:pos="907"/>
          <w:tab w:val="left" w:pos="1701"/>
          <w:tab w:val="right" w:pos="7371"/>
        </w:tabs>
        <w:spacing w:after="240"/>
        <w:ind w:left="397" w:hanging="397"/>
        <w:rPr>
          <w:i/>
          <w:iCs/>
          <w:lang w:bidi="en-US"/>
        </w:rPr>
      </w:pPr>
      <w:r w:rsidRPr="00D81559">
        <w:rPr>
          <w:lang w:bidi="en-US"/>
        </w:rPr>
        <w:tab/>
        <w:t>Ms</w:t>
      </w:r>
      <w:r w:rsidRPr="00D81559">
        <w:rPr>
          <w:lang w:bidi="en-US"/>
        </w:rPr>
        <w:tab/>
      </w:r>
      <w:r w:rsidRPr="00D81559">
        <w:rPr>
          <w:rFonts w:cstheme="minorHAnsi"/>
          <w:smallCaps/>
          <w:lang w:bidi="en-US"/>
        </w:rPr>
        <w:t xml:space="preserve">m. </w:t>
      </w:r>
      <w:proofErr w:type="spellStart"/>
      <w:r w:rsidRPr="00D81559">
        <w:rPr>
          <w:rFonts w:cstheme="minorHAnsi"/>
          <w:smallCaps/>
          <w:lang w:bidi="en-US"/>
        </w:rPr>
        <w:t>amitrano</w:t>
      </w:r>
      <w:proofErr w:type="spellEnd"/>
      <w:r w:rsidRPr="00D81559">
        <w:rPr>
          <w:smallCaps/>
          <w:lang w:bidi="en-US"/>
        </w:rPr>
        <w:t>,</w:t>
      </w:r>
      <w:r w:rsidRPr="00D81559">
        <w:rPr>
          <w:lang w:bidi="en-US"/>
        </w:rPr>
        <w:t xml:space="preserve"> </w:t>
      </w:r>
      <w:r w:rsidRPr="00D81559">
        <w:rPr>
          <w:lang w:bidi="en-US"/>
        </w:rPr>
        <w:br/>
        <w:t>Ms</w:t>
      </w:r>
      <w:r w:rsidRPr="00D81559">
        <w:rPr>
          <w:lang w:bidi="en-US"/>
        </w:rPr>
        <w:tab/>
      </w:r>
      <w:r w:rsidRPr="00D81559">
        <w:rPr>
          <w:rFonts w:cstheme="minorHAnsi"/>
          <w:smallCaps/>
          <w:lang w:bidi="en-US"/>
        </w:rPr>
        <w:t xml:space="preserve">e. </w:t>
      </w:r>
      <w:proofErr w:type="spellStart"/>
      <w:r w:rsidRPr="00D81559">
        <w:rPr>
          <w:rFonts w:cstheme="minorHAnsi"/>
          <w:smallCaps/>
          <w:lang w:bidi="en-US"/>
        </w:rPr>
        <w:t>kiranmoye</w:t>
      </w:r>
      <w:proofErr w:type="spellEnd"/>
      <w:r w:rsidRPr="00D81559">
        <w:rPr>
          <w:rFonts w:cstheme="minorHAnsi"/>
          <w:smallCaps/>
          <w:lang w:bidi="en-US"/>
        </w:rPr>
        <w:t xml:space="preserve"> </w:t>
      </w:r>
      <w:proofErr w:type="spellStart"/>
      <w:r w:rsidRPr="00D81559">
        <w:rPr>
          <w:rFonts w:cstheme="minorHAnsi"/>
          <w:smallCaps/>
          <w:lang w:bidi="en-US"/>
        </w:rPr>
        <w:t>chadhuri</w:t>
      </w:r>
      <w:proofErr w:type="spellEnd"/>
      <w:r w:rsidRPr="00D81559">
        <w:rPr>
          <w:smallCaps/>
          <w:lang w:bidi="en-US"/>
        </w:rPr>
        <w:t>,</w:t>
      </w:r>
      <w:r w:rsidRPr="00D81559">
        <w:rPr>
          <w:lang w:bidi="en-US"/>
        </w:rPr>
        <w:t xml:space="preserve"> </w:t>
      </w:r>
      <w:r w:rsidRPr="00D81559">
        <w:rPr>
          <w:lang w:bidi="en-US"/>
        </w:rPr>
        <w:br/>
        <w:t>Ms</w:t>
      </w:r>
      <w:r w:rsidRPr="00D81559">
        <w:rPr>
          <w:lang w:bidi="en-US"/>
        </w:rPr>
        <w:tab/>
      </w:r>
      <w:r w:rsidRPr="00D81559">
        <w:rPr>
          <w:rFonts w:cstheme="minorHAnsi"/>
          <w:smallCaps/>
          <w:lang w:bidi="en-US"/>
        </w:rPr>
        <w:t xml:space="preserve">v. </w:t>
      </w:r>
      <w:proofErr w:type="spellStart"/>
      <w:r w:rsidRPr="00D81559">
        <w:rPr>
          <w:rFonts w:cstheme="minorHAnsi"/>
          <w:smallCaps/>
          <w:lang w:bidi="en-US"/>
        </w:rPr>
        <w:t>sirello</w:t>
      </w:r>
      <w:proofErr w:type="spellEnd"/>
      <w:r w:rsidRPr="00D81559">
        <w:rPr>
          <w:smallCaps/>
          <w:lang w:bidi="en-US"/>
        </w:rPr>
        <w:t>,</w:t>
      </w:r>
      <w:r w:rsidRPr="00D81559">
        <w:rPr>
          <w:lang w:bidi="en-US"/>
        </w:rPr>
        <w:tab/>
      </w:r>
      <w:r w:rsidRPr="00D81559">
        <w:rPr>
          <w:rStyle w:val="JuParaChar"/>
          <w:i/>
          <w:iCs/>
        </w:rPr>
        <w:t>Advisers</w:t>
      </w:r>
      <w:r w:rsidRPr="00D81559">
        <w:rPr>
          <w:i/>
          <w:iCs/>
          <w:lang w:bidi="en-US"/>
        </w:rPr>
        <w:t>.</w:t>
      </w:r>
    </w:p>
    <w:p w14:paraId="6646FEF1" w14:textId="47F53B48"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12</w:t>
      </w:r>
      <w:r>
        <w:rPr>
          <w:noProof/>
        </w:rPr>
        <w:fldChar w:fldCharType="end"/>
      </w:r>
      <w:r w:rsidR="00AB3504" w:rsidRPr="00D81559">
        <w:t xml:space="preserve">.  The Court heard addresses by Mr </w:t>
      </w:r>
      <w:proofErr w:type="spellStart"/>
      <w:r w:rsidR="00AB3504" w:rsidRPr="00D81559">
        <w:t>D</w:t>
      </w:r>
      <w:r w:rsidR="00D91E18" w:rsidRPr="00D81559">
        <w:t>’</w:t>
      </w:r>
      <w:r w:rsidR="00AB3504" w:rsidRPr="00D81559">
        <w:t>Ascia</w:t>
      </w:r>
      <w:proofErr w:type="spellEnd"/>
      <w:r w:rsidR="00AB3504" w:rsidRPr="00D81559">
        <w:t>, Mr De Agostino and Ms Mori. It also heard their replies to questions from judges.</w:t>
      </w:r>
    </w:p>
    <w:p w14:paraId="4CAF6121" w14:textId="1DD92A4B" w:rsidR="00AB3504" w:rsidRPr="00D81559" w:rsidRDefault="00AB3504" w:rsidP="00D81559">
      <w:pPr>
        <w:pStyle w:val="JuHHead"/>
      </w:pPr>
      <w:r w:rsidRPr="00D81559">
        <w:t>THE FACTS</w:t>
      </w:r>
    </w:p>
    <w:p w14:paraId="7F2E194F" w14:textId="77777777" w:rsidR="00AB3504" w:rsidRPr="00D81559" w:rsidRDefault="00AB3504" w:rsidP="00D81559">
      <w:pPr>
        <w:pStyle w:val="JuHA"/>
      </w:pPr>
      <w:r w:rsidRPr="00D81559">
        <w:t>The circumstances of the case</w:t>
      </w:r>
    </w:p>
    <w:p w14:paraId="268DE23D" w14:textId="70CF84DD"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13</w:t>
      </w:r>
      <w:r>
        <w:rPr>
          <w:noProof/>
        </w:rPr>
        <w:fldChar w:fldCharType="end"/>
      </w:r>
      <w:r w:rsidR="00AB3504" w:rsidRPr="00D81559">
        <w:t>.  The applicant, Ms Beverly</w:t>
      </w:r>
      <w:r w:rsidR="006A5A26" w:rsidRPr="00D81559">
        <w:t xml:space="preserve"> Ann</w:t>
      </w:r>
      <w:r w:rsidR="00AB3504" w:rsidRPr="00D81559">
        <w:t xml:space="preserve"> McCallum, is a national of the United States of America, born in 1960. At the time she applied to the Court she was detained in Rome, pending extradition requested by the US authorities.</w:t>
      </w:r>
    </w:p>
    <w:p w14:paraId="2C2CFF6D" w14:textId="50ABD03F" w:rsidR="00AB3504" w:rsidRPr="00D81559" w:rsidRDefault="00AB3504" w:rsidP="00D81559">
      <w:pPr>
        <w:pStyle w:val="JuH1"/>
      </w:pPr>
      <w:r w:rsidRPr="00D81559">
        <w:t>The murder of the applicant</w:t>
      </w:r>
      <w:r w:rsidR="00D91E18" w:rsidRPr="00D81559">
        <w:t>’</w:t>
      </w:r>
      <w:r w:rsidRPr="00D81559">
        <w:t>s husband and the investigation</w:t>
      </w:r>
    </w:p>
    <w:p w14:paraId="554FB417" w14:textId="08745C26"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14</w:t>
      </w:r>
      <w:r>
        <w:rPr>
          <w:noProof/>
        </w:rPr>
        <w:fldChar w:fldCharType="end"/>
      </w:r>
      <w:r w:rsidR="00AB3504" w:rsidRPr="00D81559">
        <w:t>.  In May 2002, the applicant</w:t>
      </w:r>
      <w:r w:rsidR="00D91E18" w:rsidRPr="00D81559">
        <w:t>’</w:t>
      </w:r>
      <w:r w:rsidR="00AB3504" w:rsidRPr="00D81559">
        <w:t>s husband, Mr Roberto Caraballo, was killed at his home in the town of Charlotte, Eaton County, Michigan, USA. He died of severe head injuries. Following the homicide, the body of the victim was transported to a field 90 minutes</w:t>
      </w:r>
      <w:r w:rsidR="00D91E18" w:rsidRPr="00D81559">
        <w:t>’</w:t>
      </w:r>
      <w:r w:rsidR="00AB3504" w:rsidRPr="00D81559">
        <w:t xml:space="preserve"> drive away where it was incinerated inside a metal footlocker. While the victim</w:t>
      </w:r>
      <w:r w:rsidR="00D91E18" w:rsidRPr="00D81559">
        <w:t>’</w:t>
      </w:r>
      <w:r w:rsidR="00AB3504" w:rsidRPr="00D81559">
        <w:t>s remains were discovered shortly afterwards, they were so badly burned that his identity could not be established until police were contacted in 2015 by a witness to the killing.</w:t>
      </w:r>
    </w:p>
    <w:p w14:paraId="6DBCB8BC" w14:textId="0C70F5EB"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15</w:t>
      </w:r>
      <w:r>
        <w:rPr>
          <w:noProof/>
        </w:rPr>
        <w:fldChar w:fldCharType="end"/>
      </w:r>
      <w:r w:rsidR="00AB3504" w:rsidRPr="00D81559">
        <w:t>.  The law enforcement authorities then commenced an investigation, leading to the arrest of the applicant</w:t>
      </w:r>
      <w:r w:rsidR="00D91E18" w:rsidRPr="00D81559">
        <w:t>’</w:t>
      </w:r>
      <w:r w:rsidR="00AB3504" w:rsidRPr="00D81559">
        <w:t>s daughter, D.D., and a friend of the latter, C.M. Police also searched for the applicant but were unable to locate her. D.D. and C.M. were charged with first-degree murder, conspiracy to commit murder, and disinterment and mutilation of a dead body.</w:t>
      </w:r>
    </w:p>
    <w:p w14:paraId="7C07F117" w14:textId="624AF8C1"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16</w:t>
      </w:r>
      <w:r>
        <w:rPr>
          <w:noProof/>
        </w:rPr>
        <w:fldChar w:fldCharType="end"/>
      </w:r>
      <w:r w:rsidR="00AB3504" w:rsidRPr="00D81559">
        <w:t>.  As for the applicant, the authorities believed that she had left the United States and moved to Pakistan, living there with her current husband.</w:t>
      </w:r>
    </w:p>
    <w:p w14:paraId="57B8F5AB" w14:textId="0EC33984"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17</w:t>
      </w:r>
      <w:r>
        <w:rPr>
          <w:noProof/>
        </w:rPr>
        <w:fldChar w:fldCharType="end"/>
      </w:r>
      <w:r w:rsidR="00AB3504" w:rsidRPr="00D81559">
        <w:t>.  On 7 November 2018, the District Court of Eaton County issued a warrant for the applicant</w:t>
      </w:r>
      <w:r w:rsidR="00D91E18" w:rsidRPr="00D81559">
        <w:t>’</w:t>
      </w:r>
      <w:r w:rsidR="00AB3504" w:rsidRPr="00D81559">
        <w:t>s arrest on the charges referred to above.</w:t>
      </w:r>
    </w:p>
    <w:p w14:paraId="6DB573C4" w14:textId="5EF96D32" w:rsidR="00AB3504" w:rsidRPr="00D81559" w:rsidRDefault="00EC6877" w:rsidP="00D81559">
      <w:pPr>
        <w:pStyle w:val="JuPara"/>
      </w:pPr>
      <w:r>
        <w:lastRenderedPageBreak/>
        <w:fldChar w:fldCharType="begin"/>
      </w:r>
      <w:r>
        <w:instrText xml:space="preserve"> SEQ level0 \*arabic \* MERGEFORMAT </w:instrText>
      </w:r>
      <w:r>
        <w:fldChar w:fldCharType="separate"/>
      </w:r>
      <w:r w:rsidR="00D81559" w:rsidRPr="00D81559">
        <w:rPr>
          <w:noProof/>
        </w:rPr>
        <w:t>18</w:t>
      </w:r>
      <w:r>
        <w:rPr>
          <w:noProof/>
        </w:rPr>
        <w:fldChar w:fldCharType="end"/>
      </w:r>
      <w:r w:rsidR="00AB3504" w:rsidRPr="00D81559">
        <w:t>.  In relation to C.M., the prosecution agreed not to proceed with the original charges in return for his pleading guilty to second-degree murder and cooperating with the authorities. His plea was accepted in October 2019, and in May 2020 he was sentenced to 15-31 years in prison. D.D. was tried on the above charges and found guilty in December 2021. In February 2022 she was sentenced to life imprisonment. Under the law of Michigan, she is not eligible for parole.</w:t>
      </w:r>
    </w:p>
    <w:p w14:paraId="65270D74" w14:textId="77777777" w:rsidR="00AB3504" w:rsidRPr="00D81559" w:rsidRDefault="00AB3504" w:rsidP="00D81559">
      <w:pPr>
        <w:pStyle w:val="JuH1"/>
      </w:pPr>
      <w:r w:rsidRPr="00D81559">
        <w:t>Arrest of the applicant and request for her extradition</w:t>
      </w:r>
    </w:p>
    <w:p w14:paraId="263C00AC" w14:textId="637CC8D7"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19</w:t>
      </w:r>
      <w:r>
        <w:rPr>
          <w:noProof/>
        </w:rPr>
        <w:fldChar w:fldCharType="end"/>
      </w:r>
      <w:r w:rsidR="00AB3504" w:rsidRPr="00D81559">
        <w:t>.  In February 2020 the applicant was arrested in a hotel in Rome.</w:t>
      </w:r>
    </w:p>
    <w:p w14:paraId="66F27EAE" w14:textId="00837997" w:rsidR="00AB3504" w:rsidRPr="00D81559" w:rsidRDefault="00EC6877" w:rsidP="00D81559">
      <w:pPr>
        <w:pStyle w:val="JuPara"/>
      </w:pPr>
      <w:r>
        <w:fldChar w:fldCharType="begin"/>
      </w:r>
      <w:r>
        <w:instrText xml:space="preserve"> SEQ level0 \*arabic \* MERGEFO</w:instrText>
      </w:r>
      <w:r>
        <w:instrText xml:space="preserve">RMAT </w:instrText>
      </w:r>
      <w:r>
        <w:fldChar w:fldCharType="separate"/>
      </w:r>
      <w:r w:rsidR="00D81559" w:rsidRPr="00D81559">
        <w:rPr>
          <w:noProof/>
        </w:rPr>
        <w:t>20</w:t>
      </w:r>
      <w:r>
        <w:rPr>
          <w:noProof/>
        </w:rPr>
        <w:fldChar w:fldCharType="end"/>
      </w:r>
      <w:r w:rsidR="00AB3504" w:rsidRPr="00D81559">
        <w:t>.  The US Government, acting on behalf of the Michigan authorities, requested her extradition in accordance with the terms of the 1983 extradition treaty between the two countries. The applicant was placed in detention with a view to extradition.</w:t>
      </w:r>
    </w:p>
    <w:p w14:paraId="7FF2BBE3" w14:textId="04FA4090"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21</w:t>
      </w:r>
      <w:r>
        <w:rPr>
          <w:noProof/>
        </w:rPr>
        <w:fldChar w:fldCharType="end"/>
      </w:r>
      <w:r w:rsidR="00AB3504" w:rsidRPr="00D81559">
        <w:t>.  The Court of Appeal of Rome examined the extradition request (Article 701 of the Code of Criminal Procedure). In a judgment dated 23 June 2020 (No. 74/2020), it ruled that the request could be granted. It specifically considered the applicant</w:t>
      </w:r>
      <w:r w:rsidR="00D91E18" w:rsidRPr="00D81559">
        <w:t>’</w:t>
      </w:r>
      <w:r w:rsidR="00AB3504" w:rsidRPr="00D81559">
        <w:t xml:space="preserve">s argument regarding the risk of a life sentence without parole in case of conviction of first-degree murder. It referred to the information provided by the US authorities regarding the possibility of appeal against conviction and sentence, and also to the possibility of seeking a pardon or commutation of sentence from the Governor of Michigan. It recalled case-law of the Court of Cassation (its </w:t>
      </w:r>
      <w:r w:rsidR="00AB3504" w:rsidRPr="00D81559">
        <w:rPr>
          <w:i/>
          <w:iCs/>
        </w:rPr>
        <w:t>Hernandez</w:t>
      </w:r>
      <w:r w:rsidR="00AB3504" w:rsidRPr="00D81559">
        <w:t xml:space="preserve"> judgment of 25 January 2019) to the effect that, in the context of extradition to the United States, the risk of an exceedingly long sentence was not sufficient to refuse an extradition request. This was because of the possibility of early release for prisoners serving life sentences, which could </w:t>
      </w:r>
      <w:proofErr w:type="gramStart"/>
      <w:r w:rsidR="00AB3504" w:rsidRPr="00D81559">
        <w:t>take into account</w:t>
      </w:r>
      <w:proofErr w:type="gramEnd"/>
      <w:r w:rsidR="00AB3504" w:rsidRPr="00D81559">
        <w:t xml:space="preserve"> the prisoner</w:t>
      </w:r>
      <w:r w:rsidR="00D91E18" w:rsidRPr="00D81559">
        <w:t>’</w:t>
      </w:r>
      <w:r w:rsidR="00AB3504" w:rsidRPr="00D81559">
        <w:t>s conduct, albeit on the basis of discretionary assessments by various public authorities. Regarding the system in Michigan, the Court of Appeal noted that the extradition request contained extensive information on the possibility for reducing sentences, including life sentences.</w:t>
      </w:r>
    </w:p>
    <w:p w14:paraId="1E1EFC23" w14:textId="24A8A4E4"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22</w:t>
      </w:r>
      <w:r>
        <w:rPr>
          <w:noProof/>
        </w:rPr>
        <w:fldChar w:fldCharType="end"/>
      </w:r>
      <w:r w:rsidR="00AB3504" w:rsidRPr="00D81559">
        <w:t>.  The applicant appealed to the Court of Cassation. Insofar as relevant to the present application, she argued that it would be contrary Article 3 of the Convention to agree to her extradition in view of the risk of spending the remainder of her life in prison without eligibility for parole.</w:t>
      </w:r>
    </w:p>
    <w:p w14:paraId="25BB8A2E" w14:textId="64DD19F6"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23</w:t>
      </w:r>
      <w:r>
        <w:rPr>
          <w:noProof/>
        </w:rPr>
        <w:fldChar w:fldCharType="end"/>
      </w:r>
      <w:r w:rsidR="00AB3504" w:rsidRPr="00D81559">
        <w:t>.  The Court of Cassation dismissed the appeal on 24 February 2021 (decision no. 7262/2021). Regarding the complaint about a possible life sentence, it considered that the Court of Appeal had adequately addressed the applicant</w:t>
      </w:r>
      <w:r w:rsidR="00D91E18" w:rsidRPr="00D81559">
        <w:t>’</w:t>
      </w:r>
      <w:r w:rsidR="00AB3504" w:rsidRPr="00D81559">
        <w:t xml:space="preserve">s argument. Recalling its </w:t>
      </w:r>
      <w:r w:rsidR="00AB3504" w:rsidRPr="00D81559">
        <w:rPr>
          <w:i/>
          <w:iCs/>
        </w:rPr>
        <w:t>Hernandez</w:t>
      </w:r>
      <w:r w:rsidR="00AB3504" w:rsidRPr="00D81559">
        <w:t xml:space="preserve"> judgment, it stated that it had been established that the US system was generally compatible with the general principles of the Italian system. In the US system there were “correctives” (</w:t>
      </w:r>
      <w:proofErr w:type="spellStart"/>
      <w:r w:rsidR="00AB3504" w:rsidRPr="00D81559">
        <w:rPr>
          <w:i/>
          <w:iCs/>
        </w:rPr>
        <w:t>correttivi</w:t>
      </w:r>
      <w:proofErr w:type="spellEnd"/>
      <w:r w:rsidR="00AB3504" w:rsidRPr="00D81559">
        <w:t>) that applied even to life sentences. The applicant</w:t>
      </w:r>
      <w:r w:rsidR="00D91E18" w:rsidRPr="00D81559">
        <w:t>’</w:t>
      </w:r>
      <w:r w:rsidR="00AB3504" w:rsidRPr="00D81559">
        <w:t xml:space="preserve">s submissions in this respect were no more than a “generic bundling” </w:t>
      </w:r>
      <w:r w:rsidR="00AB3504" w:rsidRPr="00D81559">
        <w:lastRenderedPageBreak/>
        <w:t>(</w:t>
      </w:r>
      <w:proofErr w:type="spellStart"/>
      <w:r w:rsidR="00AB3504" w:rsidRPr="00D81559">
        <w:rPr>
          <w:i/>
          <w:iCs/>
        </w:rPr>
        <w:t>affastellamento</w:t>
      </w:r>
      <w:proofErr w:type="spellEnd"/>
      <w:r w:rsidR="00AB3504" w:rsidRPr="00D81559">
        <w:rPr>
          <w:i/>
          <w:iCs/>
        </w:rPr>
        <w:t xml:space="preserve"> </w:t>
      </w:r>
      <w:proofErr w:type="spellStart"/>
      <w:r w:rsidR="00AB3504" w:rsidRPr="00D81559">
        <w:rPr>
          <w:i/>
          <w:iCs/>
        </w:rPr>
        <w:t>generico</w:t>
      </w:r>
      <w:proofErr w:type="spellEnd"/>
      <w:r w:rsidR="00AB3504" w:rsidRPr="00D81559">
        <w:t>) of arguments and precedents without relevance to the concrete case.</w:t>
      </w:r>
    </w:p>
    <w:p w14:paraId="26B0DAC8" w14:textId="267DF2CA"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24</w:t>
      </w:r>
      <w:r>
        <w:rPr>
          <w:noProof/>
        </w:rPr>
        <w:fldChar w:fldCharType="end"/>
      </w:r>
      <w:r w:rsidR="00AB3504" w:rsidRPr="00D81559">
        <w:t>.  The extradition decree signed by the Minister of Justice was issued on 8</w:t>
      </w:r>
      <w:r w:rsidR="00D81559">
        <w:t> </w:t>
      </w:r>
      <w:r w:rsidR="00AB3504" w:rsidRPr="00D81559">
        <w:t xml:space="preserve">March 2021. The decree stated, </w:t>
      </w:r>
      <w:r w:rsidR="00AB3504" w:rsidRPr="00D81559">
        <w:rPr>
          <w:i/>
          <w:iCs/>
        </w:rPr>
        <w:t>inter alia</w:t>
      </w:r>
      <w:r w:rsidR="00AB3504" w:rsidRPr="00D81559">
        <w:t>, that there were no reasons to believe that the applicant would be subjected to cruel, inhuman or degrading punishment or treatment or to acts violating her fundamental rights. It further noted that the possibility of the death penalty did not arise, since for the offences in question the sentence provided for was life imprisonment with the possibility of benefitting from early release.</w:t>
      </w:r>
    </w:p>
    <w:p w14:paraId="69C5FCDA" w14:textId="77777777" w:rsidR="00AB3504" w:rsidRPr="00D81559" w:rsidRDefault="00AB3504" w:rsidP="00D81559">
      <w:pPr>
        <w:pStyle w:val="JuHA"/>
      </w:pPr>
      <w:r w:rsidRPr="00D81559">
        <w:t>Further developments</w:t>
      </w:r>
    </w:p>
    <w:p w14:paraId="6B821AFF" w14:textId="087B8B1D"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25</w:t>
      </w:r>
      <w:r>
        <w:rPr>
          <w:noProof/>
        </w:rPr>
        <w:fldChar w:fldCharType="end"/>
      </w:r>
      <w:r w:rsidR="00AB3504" w:rsidRPr="00D81559">
        <w:t>.  The applicant took further steps at the domestic level, initiating proceedings before the Regional Administrative Court of Lazio on 4 May 2021, seeking the annulment of the extradition decree. On 27 May 2021, that court suspended the implementation of the decree until 9 June 2021. It directed the Ministry of Justice to file a detailed report on the matter, accompanied by all relevant documentation, with particular reference to the penalty provided for in the law of the requesting State and, in the event of a life sentence, the possibility of obtaining early release.</w:t>
      </w:r>
    </w:p>
    <w:p w14:paraId="7952A6BD" w14:textId="025C5506"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26</w:t>
      </w:r>
      <w:r>
        <w:rPr>
          <w:noProof/>
        </w:rPr>
        <w:fldChar w:fldCharType="end"/>
      </w:r>
      <w:r w:rsidR="00AB3504" w:rsidRPr="00D81559">
        <w:t xml:space="preserve">.  On 9 June 2021 the administrative court prolonged the suspension of the decree until 7 July 2021. The following day, noting that the decree could not in any event be executed on account of the interim measure indicated by this Court (see paragraphs </w:t>
      </w:r>
      <w:r w:rsidR="008C1DDD" w:rsidRPr="00D81559">
        <w:fldChar w:fldCharType="begin"/>
      </w:r>
      <w:r w:rsidR="008C1DDD" w:rsidRPr="00D81559">
        <w:instrText xml:space="preserve"> REF Rule_39_applied \h  \* CharFormat </w:instrText>
      </w:r>
      <w:r w:rsidR="008C1DDD" w:rsidRPr="00D81559">
        <w:fldChar w:fldCharType="separate"/>
      </w:r>
      <w:r w:rsidR="00D81559" w:rsidRPr="00D81559">
        <w:t>3</w:t>
      </w:r>
      <w:r w:rsidR="008C1DDD" w:rsidRPr="00D81559">
        <w:fldChar w:fldCharType="end"/>
      </w:r>
      <w:r w:rsidR="00AB3504" w:rsidRPr="00D81559">
        <w:t>-</w:t>
      </w:r>
      <w:r w:rsidR="008C1DDD" w:rsidRPr="00D81559">
        <w:fldChar w:fldCharType="begin"/>
      </w:r>
      <w:r w:rsidR="008C1DDD" w:rsidRPr="00D81559">
        <w:instrText xml:space="preserve"> REF paragraph00004 \h  \* CharFormat </w:instrText>
      </w:r>
      <w:r w:rsidR="008C1DDD" w:rsidRPr="00D81559">
        <w:fldChar w:fldCharType="separate"/>
      </w:r>
      <w:r w:rsidR="00D81559" w:rsidRPr="00D81559">
        <w:t>4</w:t>
      </w:r>
      <w:r w:rsidR="008C1DDD" w:rsidRPr="00D81559">
        <w:fldChar w:fldCharType="end"/>
      </w:r>
      <w:r w:rsidR="00AB3504" w:rsidRPr="00D81559">
        <w:t xml:space="preserve"> above), it decided to reject the applicant</w:t>
      </w:r>
      <w:r w:rsidR="00D91E18" w:rsidRPr="00D81559">
        <w:t>’</w:t>
      </w:r>
      <w:r w:rsidR="00AB3504" w:rsidRPr="00D81559">
        <w:t>s request for a similar measure from that court.</w:t>
      </w:r>
    </w:p>
    <w:p w14:paraId="72D39578" w14:textId="6EEB9515"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27</w:t>
      </w:r>
      <w:r>
        <w:rPr>
          <w:noProof/>
        </w:rPr>
        <w:fldChar w:fldCharType="end"/>
      </w:r>
      <w:r w:rsidR="00AB3504" w:rsidRPr="00D81559">
        <w:t>.  On 1 December 2021 the Court of Appeal of Rome ordered the release of the applicant from detention in view of her poor health. She had by then been receiving treatment in hospital for several weeks. In place of detention the court ordered that the applicant remain in Rome and respect a night-time curfew.</w:t>
      </w:r>
    </w:p>
    <w:p w14:paraId="3A1A23B1" w14:textId="12FE1528" w:rsidR="00AB3504" w:rsidRPr="00D81559" w:rsidRDefault="00EC6877" w:rsidP="00D81559">
      <w:pPr>
        <w:pStyle w:val="JuPara"/>
      </w:pPr>
      <w:r>
        <w:fldChar w:fldCharType="begin"/>
      </w:r>
      <w:r>
        <w:instrText xml:space="preserve"> S</w:instrText>
      </w:r>
      <w:r>
        <w:instrText xml:space="preserve">EQ level0 \*arabic \* MERGEFORMAT </w:instrText>
      </w:r>
      <w:r>
        <w:fldChar w:fldCharType="separate"/>
      </w:r>
      <w:bookmarkStart w:id="4" w:name="paragraph00028"/>
      <w:r w:rsidR="00D81559" w:rsidRPr="00D81559">
        <w:rPr>
          <w:noProof/>
        </w:rPr>
        <w:t>28</w:t>
      </w:r>
      <w:bookmarkEnd w:id="4"/>
      <w:r>
        <w:rPr>
          <w:noProof/>
        </w:rPr>
        <w:fldChar w:fldCharType="end"/>
      </w:r>
      <w:r w:rsidR="00AB3504" w:rsidRPr="00D81559">
        <w:t>.  On 3 December 2021 the US Embassy in Rome sent a Diplomatic Note to the Italian authorities informing them that the Eaton County Prosecuting Attorney had given a commitment to try the applicant on the lesser charge of second-degree murder, the maximum penalty for this offence being a life sentence with eligibility for parole. It further stated that she would not be tried on the original charge of conspiracy, but that the charge of disinterment and mutilation of a dead body would be pursued. The US authorities amended their original extradition request accordingly.</w:t>
      </w:r>
    </w:p>
    <w:p w14:paraId="17D803F6" w14:textId="77A39240" w:rsidR="00AB3504" w:rsidRPr="00D81559" w:rsidRDefault="00EC6877" w:rsidP="00D81559">
      <w:pPr>
        <w:pStyle w:val="JuPara"/>
      </w:pPr>
      <w:r>
        <w:fldChar w:fldCharType="begin"/>
      </w:r>
      <w:r>
        <w:instrText xml:space="preserve"> SEQ level0 \*arabic \* MERGEFORMAT </w:instrText>
      </w:r>
      <w:r>
        <w:fldChar w:fldCharType="separate"/>
      </w:r>
      <w:bookmarkStart w:id="5" w:name="paragraph00029"/>
      <w:r w:rsidR="00D81559" w:rsidRPr="00D81559">
        <w:rPr>
          <w:noProof/>
        </w:rPr>
        <w:t>29</w:t>
      </w:r>
      <w:bookmarkEnd w:id="5"/>
      <w:r>
        <w:rPr>
          <w:noProof/>
        </w:rPr>
        <w:fldChar w:fldCharType="end"/>
      </w:r>
      <w:r w:rsidR="00AB3504" w:rsidRPr="00D81559">
        <w:t xml:space="preserve">.  On 7 December 2021, the Minister of Justice signed a new decree for the extradition of the applicant on the amended charges. In light of this, the Court of Appeal issued a new order of detention against her. As indicated above (see paragraph </w:t>
      </w:r>
      <w:r w:rsidR="00325C2F" w:rsidRPr="00D81559">
        <w:fldChar w:fldCharType="begin"/>
      </w:r>
      <w:r w:rsidR="00325C2F" w:rsidRPr="00D81559">
        <w:instrText xml:space="preserve"> REF Rule_39_lifted \h  \* CharFormat </w:instrText>
      </w:r>
      <w:r w:rsidR="00325C2F" w:rsidRPr="00D81559">
        <w:fldChar w:fldCharType="separate"/>
      </w:r>
      <w:r w:rsidR="00D81559" w:rsidRPr="00D81559">
        <w:t>9</w:t>
      </w:r>
      <w:r w:rsidR="00325C2F" w:rsidRPr="00D81559">
        <w:fldChar w:fldCharType="end"/>
      </w:r>
      <w:r w:rsidR="00AB3504" w:rsidRPr="00D81559">
        <w:t>), the Grand Chamber decided, in light of this development, to lift the interim measure preventing the applicant</w:t>
      </w:r>
      <w:r w:rsidR="00D91E18" w:rsidRPr="00D81559">
        <w:t>’</w:t>
      </w:r>
      <w:r w:rsidR="00AB3504" w:rsidRPr="00D81559">
        <w:t xml:space="preserve">s extradition. By the date of the hearing, the applicant was still in Italy awaiting </w:t>
      </w:r>
      <w:r w:rsidR="00AB3504" w:rsidRPr="00D81559">
        <w:lastRenderedPageBreak/>
        <w:t>extradition to the United States. According to the applicant</w:t>
      </w:r>
      <w:r w:rsidR="00D91E18" w:rsidRPr="00D81559">
        <w:t>’</w:t>
      </w:r>
      <w:r w:rsidR="00AB3504" w:rsidRPr="00D81559">
        <w:t>s legal representatives, they brought proceedings against the new extradition decree before the Administrative Court of Lazio.</w:t>
      </w:r>
    </w:p>
    <w:p w14:paraId="551CB2DB" w14:textId="0FFA6371"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30</w:t>
      </w:r>
      <w:r>
        <w:rPr>
          <w:noProof/>
        </w:rPr>
        <w:fldChar w:fldCharType="end"/>
      </w:r>
      <w:r w:rsidR="00AB3504" w:rsidRPr="00D81559">
        <w:t>.  The applicant</w:t>
      </w:r>
      <w:r w:rsidR="00D91E18" w:rsidRPr="00D81559">
        <w:t>’</w:t>
      </w:r>
      <w:r w:rsidR="00AB3504" w:rsidRPr="00D81559">
        <w:t>s extradition to the United States took place on 8 July 2022.</w:t>
      </w:r>
    </w:p>
    <w:p w14:paraId="49066821" w14:textId="77777777" w:rsidR="00AB3504" w:rsidRPr="00D81559" w:rsidRDefault="00AB3504" w:rsidP="00D81559">
      <w:pPr>
        <w:pStyle w:val="JuHHead"/>
      </w:pPr>
      <w:r w:rsidRPr="00D81559">
        <w:t>Relevant domestic law</w:t>
      </w:r>
    </w:p>
    <w:p w14:paraId="15D59B66" w14:textId="77777777" w:rsidR="00AB3504" w:rsidRPr="00D81559" w:rsidRDefault="00AB3504" w:rsidP="00D81559">
      <w:pPr>
        <w:pStyle w:val="JuHA"/>
      </w:pPr>
      <w:r w:rsidRPr="00D81559">
        <w:t>The Constitution</w:t>
      </w:r>
    </w:p>
    <w:p w14:paraId="3EB750A0" w14:textId="29CD9D6F"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31</w:t>
      </w:r>
      <w:r>
        <w:rPr>
          <w:noProof/>
        </w:rPr>
        <w:fldChar w:fldCharType="end"/>
      </w:r>
      <w:r w:rsidR="00AB3504" w:rsidRPr="00D81559">
        <w:t>.  Article 26 of the Italian Constitution provides:</w:t>
      </w:r>
    </w:p>
    <w:p w14:paraId="199CE949" w14:textId="77777777" w:rsidR="00AB3504" w:rsidRPr="00D81559" w:rsidRDefault="00AB3504" w:rsidP="00D81559">
      <w:pPr>
        <w:pStyle w:val="JuQuot"/>
      </w:pPr>
      <w:r w:rsidRPr="00D81559">
        <w:t>“Extradition of a citizen may be granted only if it is expressly envisaged by international conventions.</w:t>
      </w:r>
    </w:p>
    <w:p w14:paraId="33AE6339" w14:textId="77777777" w:rsidR="00AB3504" w:rsidRPr="00D81559" w:rsidRDefault="00AB3504" w:rsidP="00D81559">
      <w:pPr>
        <w:pStyle w:val="JuQuot"/>
      </w:pPr>
      <w:r w:rsidRPr="00D81559">
        <w:t>In any case, extradition may not be permitted for political offences.”</w:t>
      </w:r>
    </w:p>
    <w:p w14:paraId="4421430B" w14:textId="77777777" w:rsidR="00AB3504" w:rsidRPr="00D81559" w:rsidRDefault="00AB3504" w:rsidP="00D81559">
      <w:pPr>
        <w:pStyle w:val="JuPara"/>
      </w:pPr>
      <w:r w:rsidRPr="00D81559">
        <w:t>According to Article 27 paragraph 3 of the Constitution, punishments cannot be inhuman and must aim at the rehabilitation of the convicted person.</w:t>
      </w:r>
    </w:p>
    <w:p w14:paraId="4B15E5D2" w14:textId="77777777" w:rsidR="00AB3504" w:rsidRPr="00D81559" w:rsidRDefault="00AB3504" w:rsidP="00D81559">
      <w:pPr>
        <w:pStyle w:val="JuHA"/>
      </w:pPr>
      <w:r w:rsidRPr="00D81559">
        <w:t>The Code of Criminal Procedure</w:t>
      </w:r>
    </w:p>
    <w:p w14:paraId="221E878D" w14:textId="7C994B68"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32</w:t>
      </w:r>
      <w:r>
        <w:rPr>
          <w:noProof/>
        </w:rPr>
        <w:fldChar w:fldCharType="end"/>
      </w:r>
      <w:r w:rsidR="00AB3504" w:rsidRPr="00D81559">
        <w:t>.  Extradition proceedings are governed by Articles 697-713 of the Code of Criminal Procedure.</w:t>
      </w:r>
    </w:p>
    <w:p w14:paraId="0842F309" w14:textId="43AD3D03"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33</w:t>
      </w:r>
      <w:r>
        <w:rPr>
          <w:noProof/>
        </w:rPr>
        <w:fldChar w:fldCharType="end"/>
      </w:r>
      <w:r w:rsidR="00AB3504" w:rsidRPr="00D81559">
        <w:t xml:space="preserve">.  Article 698.1 forbids extradition, </w:t>
      </w:r>
      <w:r w:rsidR="00AB3504" w:rsidRPr="00D81559">
        <w:rPr>
          <w:i/>
          <w:iCs/>
        </w:rPr>
        <w:t>inter alia</w:t>
      </w:r>
      <w:r w:rsidR="00AB3504" w:rsidRPr="00D81559">
        <w:t xml:space="preserve">, when there are reasons to believe that the accused will be subjected to cruel, inhuman or degrading punishment or treatment or to acts which amount to a violation of a fundamental human right. Article 705.2 provides, at sub-paragraph c), that the Court of Appeal must rule against extradition where it has reason to believe that the person will be subjected, </w:t>
      </w:r>
      <w:r w:rsidR="00AB3504" w:rsidRPr="00D81559">
        <w:rPr>
          <w:i/>
          <w:iCs/>
        </w:rPr>
        <w:t>inter alia</w:t>
      </w:r>
      <w:r w:rsidR="00AB3504" w:rsidRPr="00D81559">
        <w:t>, to cruel, inhuman or degrading punishment or treatment or to acts which amount to a violation of a fundamental human right.</w:t>
      </w:r>
    </w:p>
    <w:p w14:paraId="0B724656" w14:textId="1DBECCD9"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34</w:t>
      </w:r>
      <w:r>
        <w:rPr>
          <w:noProof/>
        </w:rPr>
        <w:fldChar w:fldCharType="end"/>
      </w:r>
      <w:r w:rsidR="00AB3504" w:rsidRPr="00D81559">
        <w:t>.  The decision to extradite a person is taken by the Minister of Justice (Article 708). It can be challenged before the administrative courts.</w:t>
      </w:r>
    </w:p>
    <w:p w14:paraId="3A010F35" w14:textId="77777777" w:rsidR="00AB3504" w:rsidRPr="00D81559" w:rsidRDefault="00AB3504" w:rsidP="00D81559">
      <w:pPr>
        <w:pStyle w:val="JuHA"/>
      </w:pPr>
      <w:r w:rsidRPr="00D81559">
        <w:t>Extradition treaty between Italy and the United States of America</w:t>
      </w:r>
    </w:p>
    <w:p w14:paraId="55B14669" w14:textId="3B7C765C"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35</w:t>
      </w:r>
      <w:r>
        <w:rPr>
          <w:noProof/>
        </w:rPr>
        <w:fldChar w:fldCharType="end"/>
      </w:r>
      <w:r w:rsidR="00AB3504" w:rsidRPr="00D81559">
        <w:t>.  Extradition between the two countries is governed by the treaty of 13 October 1983, as amended in light of the extradition treaty between the European Union and the United States of America, of 25 June 2003. It makes specific reference to capital punishment at Article IX of the treaty, which provides that the requested state may make extradition conditional on the non-imposition, or at least the non-execution, of the death penalty.</w:t>
      </w:r>
    </w:p>
    <w:p w14:paraId="0CE7020A" w14:textId="5A986AF1"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36</w:t>
      </w:r>
      <w:r>
        <w:rPr>
          <w:noProof/>
        </w:rPr>
        <w:fldChar w:fldCharType="end"/>
      </w:r>
      <w:r w:rsidR="00AB3504" w:rsidRPr="00D81559">
        <w:t>.  Article XVI of the treaty sets out the rule of specialty:</w:t>
      </w:r>
    </w:p>
    <w:p w14:paraId="1545EF96" w14:textId="77777777" w:rsidR="00AB3504" w:rsidRPr="00D81559" w:rsidRDefault="00AB3504" w:rsidP="00D81559">
      <w:pPr>
        <w:pStyle w:val="JuQuot"/>
      </w:pPr>
      <w:r w:rsidRPr="00D81559">
        <w:t>“1. A person extradited under this Treaty may not be detained, tried or punished in the Requesting Party except for:</w:t>
      </w:r>
    </w:p>
    <w:p w14:paraId="3704F894" w14:textId="2FE3BD33" w:rsidR="00AB3504" w:rsidRPr="00D81559" w:rsidRDefault="00AB3504" w:rsidP="00D81559">
      <w:pPr>
        <w:pStyle w:val="JuQuot"/>
      </w:pPr>
      <w:r w:rsidRPr="00D81559">
        <w:lastRenderedPageBreak/>
        <w:t>(a) the offense for which extradition has been granted or when the same facts for which extradition was granted constitute a differently denominated offense which is extraditable;</w:t>
      </w:r>
    </w:p>
    <w:p w14:paraId="54C10A40" w14:textId="77777777" w:rsidR="00AB3504" w:rsidRPr="00D81559" w:rsidRDefault="00AB3504" w:rsidP="00D81559">
      <w:pPr>
        <w:pStyle w:val="JuQuot"/>
      </w:pPr>
      <w:r w:rsidRPr="00D81559">
        <w:t>...</w:t>
      </w:r>
    </w:p>
    <w:p w14:paraId="0CB313D7" w14:textId="28660BDE" w:rsidR="00AB3504" w:rsidRPr="00D81559" w:rsidRDefault="00AB3504" w:rsidP="00D81559">
      <w:pPr>
        <w:pStyle w:val="JuQuot"/>
      </w:pPr>
      <w:r w:rsidRPr="00D81559">
        <w:t>(c) an offense for which the Executive Authority of the United States or the competent authorities of Italy consent to the person</w:t>
      </w:r>
      <w:r w:rsidR="00D91E18" w:rsidRPr="00D81559">
        <w:t>’</w:t>
      </w:r>
      <w:r w:rsidRPr="00D81559">
        <w:t>s detention, trial or punishment.”</w:t>
      </w:r>
    </w:p>
    <w:p w14:paraId="4D0CE9BC" w14:textId="77777777" w:rsidR="00AB3504" w:rsidRPr="00D81559" w:rsidRDefault="00AB3504" w:rsidP="00D81559">
      <w:pPr>
        <w:pStyle w:val="JuHA"/>
      </w:pPr>
      <w:r w:rsidRPr="00D81559">
        <w:t>Relevant law of the State of Michigan</w:t>
      </w:r>
    </w:p>
    <w:bookmarkStart w:id="6" w:name="Michigan_Law_murder2"/>
    <w:p w14:paraId="036FA7D8" w14:textId="3BFC3285" w:rsidR="00AB3504" w:rsidRPr="00D81559" w:rsidRDefault="00AB3504" w:rsidP="00D81559">
      <w:pPr>
        <w:pStyle w:val="JuPara"/>
      </w:pPr>
      <w:r w:rsidRPr="00D81559">
        <w:fldChar w:fldCharType="begin"/>
      </w:r>
      <w:r w:rsidRPr="00D81559">
        <w:instrText xml:space="preserve"> SEQ level0 \*arabic \* MERGEFORMAT </w:instrText>
      </w:r>
      <w:r w:rsidRPr="00D81559">
        <w:fldChar w:fldCharType="separate"/>
      </w:r>
      <w:r w:rsidR="00D81559" w:rsidRPr="00D81559">
        <w:rPr>
          <w:noProof/>
        </w:rPr>
        <w:t>37</w:t>
      </w:r>
      <w:r w:rsidRPr="00D81559">
        <w:fldChar w:fldCharType="end"/>
      </w:r>
      <w:bookmarkEnd w:id="6"/>
      <w:r w:rsidRPr="00D81559">
        <w:t>.  The Michigan Penal Code provides at § 750.317:</w:t>
      </w:r>
    </w:p>
    <w:p w14:paraId="6D86B513" w14:textId="77777777" w:rsidR="00AB3504" w:rsidRPr="00D81559" w:rsidRDefault="00AB3504" w:rsidP="00D81559">
      <w:pPr>
        <w:pStyle w:val="JuQuot"/>
      </w:pPr>
      <w:r w:rsidRPr="00D81559">
        <w:t>“Second degree murder—All other kinds of murder shall be murder of the second degree, and shall be punished by imprisonment in the state prison for life, or any term of years, in the discretion of the court trying the same.”</w:t>
      </w:r>
    </w:p>
    <w:p w14:paraId="63DD8F2A" w14:textId="77777777" w:rsidR="00AB3504" w:rsidRPr="00D81559" w:rsidRDefault="00AB3504" w:rsidP="00D81559">
      <w:pPr>
        <w:pStyle w:val="JuPara"/>
      </w:pPr>
      <w:r w:rsidRPr="00D81559">
        <w:t>A person sentenced to life imprisonment under this provision is eligible for parole.</w:t>
      </w:r>
    </w:p>
    <w:p w14:paraId="45CA2270" w14:textId="3AD6BAC1"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38</w:t>
      </w:r>
      <w:r>
        <w:rPr>
          <w:noProof/>
        </w:rPr>
        <w:fldChar w:fldCharType="end"/>
      </w:r>
      <w:r w:rsidR="00AB3504" w:rsidRPr="00D81559">
        <w:t>.  The regulations that apply to prisoners serving life sentences are contained in Michigan Compiled Laws § 791.234.</w:t>
      </w:r>
    </w:p>
    <w:bookmarkStart w:id="7" w:name="Michigan_Law_subsection7"/>
    <w:p w14:paraId="7697F6E7" w14:textId="5C4555B9" w:rsidR="00AB3504" w:rsidRPr="00D81559" w:rsidRDefault="00AB3504" w:rsidP="00D81559">
      <w:pPr>
        <w:pStyle w:val="JuPara"/>
      </w:pPr>
      <w:r w:rsidRPr="00D81559">
        <w:fldChar w:fldCharType="begin"/>
      </w:r>
      <w:r w:rsidRPr="00D81559">
        <w:instrText xml:space="preserve"> SEQ level0 \*arabic \* MERGEFORMAT </w:instrText>
      </w:r>
      <w:r w:rsidRPr="00D81559">
        <w:fldChar w:fldCharType="separate"/>
      </w:r>
      <w:r w:rsidR="00D81559" w:rsidRPr="00D81559">
        <w:rPr>
          <w:noProof/>
        </w:rPr>
        <w:t>39</w:t>
      </w:r>
      <w:r w:rsidRPr="00D81559">
        <w:fldChar w:fldCharType="end"/>
      </w:r>
      <w:bookmarkEnd w:id="7"/>
      <w:r w:rsidRPr="00D81559">
        <w:t>.  Subsection 7 provides that a prisoner sentenced to life imprisonment (except for those convicted of first-degree murder) is subject to the jurisdiction of the parole board and is eligible for parole after having served at least 15 years.</w:t>
      </w:r>
    </w:p>
    <w:p w14:paraId="3EE8026A" w14:textId="2442FB63" w:rsidR="00AB3504" w:rsidRPr="00D81559" w:rsidRDefault="00EC6877" w:rsidP="00D81559">
      <w:pPr>
        <w:pStyle w:val="JuPara"/>
      </w:pPr>
      <w:r>
        <w:fldChar w:fldCharType="begin"/>
      </w:r>
      <w:r>
        <w:instrText xml:space="preserve"> SEQ level0 \*arabic \* MERGEFORMAT </w:instrText>
      </w:r>
      <w:r>
        <w:fldChar w:fldCharType="separate"/>
      </w:r>
      <w:bookmarkStart w:id="8" w:name="paragraph00040"/>
      <w:r w:rsidR="00D81559" w:rsidRPr="00D81559">
        <w:rPr>
          <w:noProof/>
        </w:rPr>
        <w:t>40</w:t>
      </w:r>
      <w:bookmarkEnd w:id="8"/>
      <w:r>
        <w:rPr>
          <w:noProof/>
        </w:rPr>
        <w:fldChar w:fldCharType="end"/>
      </w:r>
      <w:r w:rsidR="00AB3504" w:rsidRPr="00D81559">
        <w:t>.  Subsection 11 provides that the question of release is at the discretion of the parole board. The grant of parole can be appealed to the circuit court by the competent prosecutor or the victim of the crime.</w:t>
      </w:r>
    </w:p>
    <w:p w14:paraId="65B17825" w14:textId="4D855B73" w:rsidR="00AB3504" w:rsidRPr="00D81559" w:rsidRDefault="00EC6877" w:rsidP="00D81559">
      <w:pPr>
        <w:pStyle w:val="JuPara"/>
        <w:keepNext/>
        <w:keepLines/>
      </w:pPr>
      <w:r>
        <w:fldChar w:fldCharType="begin"/>
      </w:r>
      <w:r>
        <w:instrText xml:space="preserve"> SEQ level0 \*arabic \* MERGEFORMAT </w:instrText>
      </w:r>
      <w:r>
        <w:fldChar w:fldCharType="separate"/>
      </w:r>
      <w:r w:rsidR="00D81559" w:rsidRPr="00D81559">
        <w:rPr>
          <w:noProof/>
        </w:rPr>
        <w:t>41</w:t>
      </w:r>
      <w:r>
        <w:rPr>
          <w:noProof/>
        </w:rPr>
        <w:fldChar w:fldCharType="end"/>
      </w:r>
      <w:r w:rsidR="00AB3504" w:rsidRPr="00D81559">
        <w:t xml:space="preserve">.  The Constitution of Michigan confers a power of clemency on the Governor (Article V, </w:t>
      </w:r>
      <w:r w:rsidR="00AB3504" w:rsidRPr="00D81559">
        <w:rPr>
          <w:rFonts w:cstheme="minorHAnsi"/>
        </w:rPr>
        <w:t>§</w:t>
      </w:r>
      <w:r w:rsidR="00AB3504" w:rsidRPr="00D81559">
        <w:t xml:space="preserve"> 14):</w:t>
      </w:r>
    </w:p>
    <w:p w14:paraId="645B02E6" w14:textId="77777777" w:rsidR="00AB3504" w:rsidRPr="00D81559" w:rsidRDefault="00AB3504" w:rsidP="00D81559">
      <w:pPr>
        <w:pStyle w:val="JuQuot"/>
      </w:pPr>
      <w:r w:rsidRPr="00D81559">
        <w:t>“The governor shall have power to grant reprieves, commutations and pardons after convictions for all offenses, except cases of impeachment, upon such conditions and limitations as he may direct, subject to procedures and regulations prescribed by law. He shall inform the legislature annually of each reprieve, commutation and pardon granted, stating reasons therefor.”</w:t>
      </w:r>
    </w:p>
    <w:p w14:paraId="128B1B22" w14:textId="4D822725" w:rsidR="00AB3504" w:rsidRPr="00D81559" w:rsidRDefault="00AB3504" w:rsidP="00D81559">
      <w:pPr>
        <w:pStyle w:val="JuHHead"/>
      </w:pPr>
      <w:r w:rsidRPr="00D81559">
        <w:t>COMPLAINT</w:t>
      </w:r>
    </w:p>
    <w:p w14:paraId="7D9C9834" w14:textId="1BA1864D"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42</w:t>
      </w:r>
      <w:r>
        <w:rPr>
          <w:noProof/>
        </w:rPr>
        <w:fldChar w:fldCharType="end"/>
      </w:r>
      <w:r w:rsidR="00AB3504" w:rsidRPr="00D81559">
        <w:t>.  The applicant complained that for the respondent State to extradite her to the United States would expose her to the risk of a sentence of life imprisonment without parole, in violation of Article 3 of the Convention. She maintained her complaint following the reduction of the charges against her, arguing that she was still at risk of receiving a sentence that did not comply with the relevant Convention principles on the reducibility of life sentences.</w:t>
      </w:r>
    </w:p>
    <w:p w14:paraId="28A4273B" w14:textId="77777777" w:rsidR="00AB3504" w:rsidRPr="00D81559" w:rsidRDefault="00AB3504" w:rsidP="00D81559">
      <w:pPr>
        <w:pStyle w:val="JuHHead"/>
      </w:pPr>
      <w:r w:rsidRPr="00D81559">
        <w:lastRenderedPageBreak/>
        <w:t>THE LAW</w:t>
      </w:r>
    </w:p>
    <w:p w14:paraId="3C81CA97" w14:textId="55275F35" w:rsidR="00AB3504" w:rsidRPr="00D81559" w:rsidRDefault="00EC6877" w:rsidP="00D81559">
      <w:pPr>
        <w:pStyle w:val="JuPara"/>
        <w:keepNext/>
        <w:keepLines/>
      </w:pPr>
      <w:r>
        <w:fldChar w:fldCharType="begin"/>
      </w:r>
      <w:r>
        <w:instrText xml:space="preserve"> SEQ level0 \*arabic \* MERGEFORMAT </w:instrText>
      </w:r>
      <w:r>
        <w:fldChar w:fldCharType="separate"/>
      </w:r>
      <w:r w:rsidR="00D81559" w:rsidRPr="00D81559">
        <w:rPr>
          <w:noProof/>
        </w:rPr>
        <w:t>43</w:t>
      </w:r>
      <w:r>
        <w:rPr>
          <w:noProof/>
        </w:rPr>
        <w:fldChar w:fldCharType="end"/>
      </w:r>
      <w:r w:rsidR="00AB3504" w:rsidRPr="00D81559">
        <w:t>.  Article 3 of the Convention provides:</w:t>
      </w:r>
    </w:p>
    <w:p w14:paraId="5A45D99F" w14:textId="77777777" w:rsidR="00AB3504" w:rsidRPr="00D81559" w:rsidRDefault="00AB3504" w:rsidP="00D81559">
      <w:pPr>
        <w:pStyle w:val="JuQuot"/>
        <w:keepNext/>
        <w:keepLines/>
      </w:pPr>
      <w:r w:rsidRPr="00D81559">
        <w:t>“No one shall be subjected to torture or to inhuman or degrading treatment or punishment.”</w:t>
      </w:r>
    </w:p>
    <w:p w14:paraId="44BA8FA3" w14:textId="77777777" w:rsidR="00AB3504" w:rsidRPr="00D81559" w:rsidRDefault="00AB3504" w:rsidP="00D81559">
      <w:pPr>
        <w:pStyle w:val="JuHA"/>
      </w:pPr>
      <w:r w:rsidRPr="00D81559">
        <w:t>Submissions of the parties</w:t>
      </w:r>
    </w:p>
    <w:p w14:paraId="4425491D" w14:textId="2FD95724" w:rsidR="00AB3504" w:rsidRPr="00D81559" w:rsidRDefault="00EC6877" w:rsidP="00D81559">
      <w:pPr>
        <w:pStyle w:val="JuPara"/>
      </w:pPr>
      <w:r>
        <w:fldChar w:fldCharType="begin"/>
      </w:r>
      <w:r>
        <w:instrText xml:space="preserve"> SEQ level0 \*</w:instrText>
      </w:r>
      <w:r>
        <w:instrText xml:space="preserve">arabic \* MERGEFORMAT </w:instrText>
      </w:r>
      <w:r>
        <w:fldChar w:fldCharType="separate"/>
      </w:r>
      <w:r w:rsidR="00D81559" w:rsidRPr="00D81559">
        <w:rPr>
          <w:noProof/>
        </w:rPr>
        <w:t>44</w:t>
      </w:r>
      <w:r>
        <w:rPr>
          <w:noProof/>
        </w:rPr>
        <w:fldChar w:fldCharType="end"/>
      </w:r>
      <w:r w:rsidR="00AB3504" w:rsidRPr="00D81559">
        <w:t>.  Only the parties</w:t>
      </w:r>
      <w:r w:rsidR="00D91E18" w:rsidRPr="00D81559">
        <w:t>’</w:t>
      </w:r>
      <w:r w:rsidR="00AB3504" w:rsidRPr="00D81559">
        <w:t xml:space="preserve"> arguments made in light of the reduced charges against the applicant are summarised here. Their written and oral submissions to the Court were made before the applicant was extradited and so were framed in terms of a potential violation of Article 3 should the extradition occur. The Court finds it convenient to summarise the parties</w:t>
      </w:r>
      <w:r w:rsidR="00D91E18" w:rsidRPr="00D81559">
        <w:t>’</w:t>
      </w:r>
      <w:r w:rsidR="00AB3504" w:rsidRPr="00D81559">
        <w:t xml:space="preserve"> arguments in the same terms.</w:t>
      </w:r>
    </w:p>
    <w:p w14:paraId="6572C2C3" w14:textId="77777777" w:rsidR="00AB3504" w:rsidRPr="00D81559" w:rsidRDefault="00AB3504" w:rsidP="00D81559">
      <w:pPr>
        <w:pStyle w:val="JuH1"/>
      </w:pPr>
      <w:r w:rsidRPr="00D81559">
        <w:t>The Government</w:t>
      </w:r>
    </w:p>
    <w:p w14:paraId="7EA69BE3" w14:textId="061030A9"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45</w:t>
      </w:r>
      <w:r>
        <w:rPr>
          <w:noProof/>
        </w:rPr>
        <w:fldChar w:fldCharType="end"/>
      </w:r>
      <w:r w:rsidR="00AB3504" w:rsidRPr="00D81559">
        <w:t>.  The Government argued that the complaint should be rejected as out of time. They pointed to the fact that in the applicant</w:t>
      </w:r>
      <w:r w:rsidR="00D91E18" w:rsidRPr="00D81559">
        <w:t>’</w:t>
      </w:r>
      <w:r w:rsidR="00AB3504" w:rsidRPr="00D81559">
        <w:t xml:space="preserve">s initial submissions, set out in the application form lodged in May 2021, she had directed her complaint solely to the mandatory sentence provided for in the law of Michigan for first-degree murder, i.e., life imprisonment without eligibility for parole. Yet even at that point in time, that is to say before the charges were reduced, it was possible that the applicant might have not been given the maximum sentence (e.g., if convicted by the jury of second-degree murder only, or if the trial court accepted a guilty plea to such charge). She had expressly recognised that the applicable sentence in such circumstances (the most serious sentence being life with eligibility for parole) would not give rise to any issue under Article 3. As she had explicitly excluded this eventuality from her initial complaint, it was not open to her to seek to include it after the expiry of the time-limit provided for in Article 35 </w:t>
      </w:r>
      <w:r w:rsidR="00AB3504" w:rsidRPr="00D81559">
        <w:rPr>
          <w:rFonts w:cstheme="minorHAnsi"/>
        </w:rPr>
        <w:t>§</w:t>
      </w:r>
      <w:r w:rsidR="00AB3504" w:rsidRPr="00D81559">
        <w:t xml:space="preserve"> 1 of the Convention. That time-limit did not start to run again from the date on which the basis for the applicant</w:t>
      </w:r>
      <w:r w:rsidR="00D91E18" w:rsidRPr="00D81559">
        <w:t>’</w:t>
      </w:r>
      <w:r w:rsidR="00AB3504" w:rsidRPr="00D81559">
        <w:t>s extradition changed.</w:t>
      </w:r>
    </w:p>
    <w:p w14:paraId="58B746A1" w14:textId="7057E314"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46</w:t>
      </w:r>
      <w:r>
        <w:rPr>
          <w:noProof/>
        </w:rPr>
        <w:fldChar w:fldCharType="end"/>
      </w:r>
      <w:r w:rsidR="00AB3504" w:rsidRPr="00D81559">
        <w:t xml:space="preserve">.  The Government further stressed that there could be no doubting the reliability of the commitment spelled out in the Diplomatic Note of 3 December 2021, which had been duly presented to the Italian authorities by the US federal authorities. They regarded this as being more than a standard diplomatic assurance; it was the formal communication of a reduction of the charges against the applicant. On this basis the Minister of Justice had issued a new decree, meaning that the United States was bound to ensure that the applicant would be tried only for the lesser offences specified in it. It would be a violation of the international obligations of the United States if the applicant were to be tried on the original charges. There was no reason to think that the Michigan authorities would act in an illegitimate manner that would undermine trust between the two States. Thus, as the applicant could </w:t>
      </w:r>
      <w:r w:rsidR="00AB3504" w:rsidRPr="00D81559">
        <w:lastRenderedPageBreak/>
        <w:t>not now be tried on the original, more serious charges, she was not at risk of receiving an irreducible sentence, i.e., life imprisonment without eligibility for parole. In light of this, the Government submitted that the complaint was unfounded and that it would therefore be justified to strike the application out under Article 37 of the Convention.</w:t>
      </w:r>
    </w:p>
    <w:p w14:paraId="0A1D6F60" w14:textId="77777777" w:rsidR="00AB3504" w:rsidRPr="00D81559" w:rsidRDefault="00AB3504" w:rsidP="00D81559">
      <w:pPr>
        <w:pStyle w:val="JuH1"/>
      </w:pPr>
      <w:r w:rsidRPr="00D81559">
        <w:t>The applicant</w:t>
      </w:r>
    </w:p>
    <w:p w14:paraId="26466408" w14:textId="1F1CD9B0"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47</w:t>
      </w:r>
      <w:r>
        <w:rPr>
          <w:noProof/>
        </w:rPr>
        <w:fldChar w:fldCharType="end"/>
      </w:r>
      <w:r w:rsidR="00AB3504" w:rsidRPr="00D81559">
        <w:t xml:space="preserve">.  For her part the applicant considered that the risk initially complained of had not been eliminated, since the prosecutor had not given a binding commitment to pursue the lesser charge against her. She argued that the content of the Diplomatic Note was not sufficient to exclude the risk of the more serious charges being brought against her following her extradition. She therefore regarded the assurance received as legally dubious and indicative of the unreliable and unpredictable nature of the judicial system in the US. The extradition treaty between the two States would not prevent the Michigan prosecutor from reverting to the more serious charges, in light of the wording of its Article XVI, and she doubted that the Italian authorities would protest if this happened. Therefore, having regard to the test set by the Court in its case-law on diplomatic assurances in the context of Article 3 (see </w:t>
      </w:r>
      <w:r w:rsidR="00AB3504" w:rsidRPr="00D81559">
        <w:rPr>
          <w:i/>
        </w:rPr>
        <w:t>Othman (Abu Qatada) v. the United Kingdom</w:t>
      </w:r>
      <w:r w:rsidR="00AB3504" w:rsidRPr="00D81559">
        <w:t>, no. 8139/09, § 189, ECHR 2012 (extracts)), no sufficient guarantee had been received to eliminate the risk of an irreducible life sentence being imposed on her if convicted.</w:t>
      </w:r>
    </w:p>
    <w:p w14:paraId="75785C8C" w14:textId="293EFF13"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48</w:t>
      </w:r>
      <w:r>
        <w:rPr>
          <w:noProof/>
        </w:rPr>
        <w:fldChar w:fldCharType="end"/>
      </w:r>
      <w:r w:rsidR="00AB3504" w:rsidRPr="00D81559">
        <w:t>.  Moreover, even if tried and convicted on the reduced charge, she considered that her eventual release on parole would still depend on the decision of the Governor of Michigan, having regard to the very broad power of executive clemency conferred by the Michigan Constitution. The Governor</w:t>
      </w:r>
      <w:r w:rsidR="00D91E18" w:rsidRPr="00D81559">
        <w:t>’</w:t>
      </w:r>
      <w:r w:rsidR="00AB3504" w:rsidRPr="00D81559">
        <w:t>s power of commutation was not limited to prisoners excluded from parole. As shown by the available official statistics, clemency had been granted to prisoners convicted of second-degree murder (and many other types of crime). The discretionary and opaque nature of this process was clearly incompatible with the relevant Convention standards. Moreover, no assurances had been given in relation to how the Governor would deal with a petition for clemency from the applicant.</w:t>
      </w:r>
    </w:p>
    <w:p w14:paraId="2583584E" w14:textId="78C974E8" w:rsidR="00AB3504" w:rsidRPr="00D81559" w:rsidRDefault="00AB3504" w:rsidP="00D81559">
      <w:pPr>
        <w:pStyle w:val="JuHA"/>
      </w:pPr>
      <w:r w:rsidRPr="00D81559">
        <w:t>The Court</w:t>
      </w:r>
      <w:r w:rsidR="00D91E18" w:rsidRPr="00D81559">
        <w:t>’</w:t>
      </w:r>
      <w:r w:rsidRPr="00D81559">
        <w:t>s assessment</w:t>
      </w:r>
    </w:p>
    <w:p w14:paraId="3ADF5C1D" w14:textId="5627DA69"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49</w:t>
      </w:r>
      <w:r>
        <w:rPr>
          <w:noProof/>
        </w:rPr>
        <w:fldChar w:fldCharType="end"/>
      </w:r>
      <w:r w:rsidR="00AB3504" w:rsidRPr="00D81559">
        <w:t>.  The Court does not need to address the Government</w:t>
      </w:r>
      <w:r w:rsidR="00D91E18" w:rsidRPr="00D81559">
        <w:t>’</w:t>
      </w:r>
      <w:r w:rsidR="00AB3504" w:rsidRPr="00D81559">
        <w:t>s argument that the applicant</w:t>
      </w:r>
      <w:r w:rsidR="00D91E18" w:rsidRPr="00D81559">
        <w:t>’</w:t>
      </w:r>
      <w:r w:rsidR="00AB3504" w:rsidRPr="00D81559">
        <w:t>s complaint is out of time as in any event her complaint is inadmissible for the following reason.</w:t>
      </w:r>
    </w:p>
    <w:p w14:paraId="25DD8BB8" w14:textId="41B4050B"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50</w:t>
      </w:r>
      <w:r>
        <w:rPr>
          <w:noProof/>
        </w:rPr>
        <w:fldChar w:fldCharType="end"/>
      </w:r>
      <w:r w:rsidR="00AB3504" w:rsidRPr="00D81559">
        <w:t xml:space="preserve">.  The factual basis of the case changed with the commitment given by the competent prosecutor in Michigan to reduce the principal charge against the applicant to one of “homicide murder – second degree”. This development was communicated to the Italian authorities in the form of a Diplomatic Note from the US Embassy in Rome. The Diplomatic Note clarified that if </w:t>
      </w:r>
      <w:r w:rsidR="00AB3504" w:rsidRPr="00D81559">
        <w:lastRenderedPageBreak/>
        <w:t>convicted of this charge, the applicable penalty would be imprisonment for life, or any term of years in the court</w:t>
      </w:r>
      <w:r w:rsidR="00D91E18" w:rsidRPr="00D81559">
        <w:t>’</w:t>
      </w:r>
      <w:r w:rsidR="00AB3504" w:rsidRPr="00D81559">
        <w:t xml:space="preserve">s discretion, and that the applicant would be eligible for parole. On this basis, the United States amended its original extradition request, the Minister of Justice issued a new extradition decree reflecting that change (see paragraphs </w:t>
      </w:r>
      <w:r w:rsidR="008C1DDD" w:rsidRPr="00D81559">
        <w:fldChar w:fldCharType="begin"/>
      </w:r>
      <w:r w:rsidR="008C1DDD" w:rsidRPr="00D81559">
        <w:instrText xml:space="preserve"> REF paragraph00028 \h  \* CharFormat </w:instrText>
      </w:r>
      <w:r w:rsidR="008C1DDD" w:rsidRPr="00D81559">
        <w:fldChar w:fldCharType="separate"/>
      </w:r>
      <w:r w:rsidR="00D81559" w:rsidRPr="00D81559">
        <w:t>28</w:t>
      </w:r>
      <w:r w:rsidR="008C1DDD" w:rsidRPr="00D81559">
        <w:fldChar w:fldCharType="end"/>
      </w:r>
      <w:r w:rsidR="00AB3504" w:rsidRPr="00D81559">
        <w:t>-</w:t>
      </w:r>
      <w:r w:rsidR="008C1DDD" w:rsidRPr="00D81559">
        <w:fldChar w:fldCharType="begin"/>
      </w:r>
      <w:r w:rsidR="008C1DDD" w:rsidRPr="00D81559">
        <w:instrText xml:space="preserve"> REF paragraph00029 \h  \* CharFormat </w:instrText>
      </w:r>
      <w:r w:rsidR="008C1DDD" w:rsidRPr="00D81559">
        <w:fldChar w:fldCharType="separate"/>
      </w:r>
      <w:r w:rsidR="00D81559" w:rsidRPr="00D81559">
        <w:t>29</w:t>
      </w:r>
      <w:r w:rsidR="008C1DDD" w:rsidRPr="00D81559">
        <w:fldChar w:fldCharType="end"/>
      </w:r>
      <w:r w:rsidR="00AB3504" w:rsidRPr="00D81559">
        <w:t xml:space="preserve"> above), and the applicant was eventually extradited.</w:t>
      </w:r>
    </w:p>
    <w:p w14:paraId="3F45DAC0" w14:textId="3EF847D6"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51</w:t>
      </w:r>
      <w:r>
        <w:rPr>
          <w:noProof/>
        </w:rPr>
        <w:fldChar w:fldCharType="end"/>
      </w:r>
      <w:r w:rsidR="00AB3504" w:rsidRPr="00D81559">
        <w:t xml:space="preserve">.  While the applicant has questioned the reliability of the Diplomatic Note, the Court refers to what it said on this matter in </w:t>
      </w:r>
      <w:r w:rsidR="00AB3504" w:rsidRPr="00D81559">
        <w:rPr>
          <w:i/>
        </w:rPr>
        <w:t>Harkins and Edwards v. the United Kingdom</w:t>
      </w:r>
      <w:r w:rsidR="00AB3504" w:rsidRPr="00D81559">
        <w:t>, nos. 9146/07 and 32650/07, 17 January 2012:</w:t>
      </w:r>
    </w:p>
    <w:p w14:paraId="75E5C779" w14:textId="77777777" w:rsidR="00AB3504" w:rsidRPr="00D81559" w:rsidRDefault="00AB3504" w:rsidP="00D81559">
      <w:pPr>
        <w:pStyle w:val="JuQuot"/>
      </w:pPr>
      <w:r w:rsidRPr="00D81559">
        <w:t>“85.  ... Diplomatic Notes are a standard means for the requesting State to provide any assurances which the requested State considers necessary for its consent to extradition. ... [T]he Court also recognised that, in international relations, Diplomatic Notes carry a presumption of good faith and that, in extradition cases, it was appropriate that that presumption be applied to a requesting State which has a long history of respect for democracy, human rights and the rule of law, and which has longstanding extradition arrangements with Contracting States. ...”</w:t>
      </w:r>
    </w:p>
    <w:p w14:paraId="0B2250FD" w14:textId="77777777" w:rsidR="00AB3504" w:rsidRPr="00D81559" w:rsidRDefault="00AB3504" w:rsidP="00D81559">
      <w:pPr>
        <w:pStyle w:val="JuPara"/>
      </w:pPr>
      <w:r w:rsidRPr="00D81559">
        <w:t xml:space="preserve">The above considerations are fully applicable to the present case, the requesting State here being the same as in the </w:t>
      </w:r>
      <w:r w:rsidRPr="00D81559">
        <w:rPr>
          <w:i/>
          <w:iCs/>
        </w:rPr>
        <w:t>Harkins and Edwards</w:t>
      </w:r>
      <w:r w:rsidRPr="00D81559">
        <w:t xml:space="preserve"> case.</w:t>
      </w:r>
    </w:p>
    <w:p w14:paraId="3E89C045" w14:textId="70D1B07F"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52</w:t>
      </w:r>
      <w:r>
        <w:rPr>
          <w:noProof/>
        </w:rPr>
        <w:fldChar w:fldCharType="end"/>
      </w:r>
      <w:r w:rsidR="00AB3504" w:rsidRPr="00D81559">
        <w:t>.  Moreover, it seems to the Court that if, following her extradition, the original charges against the applicant were to be revived, that would not be compatible with the duty of good faith performance of treaty obligations (see Article 26 of the Vienna Convention on the Law of Treaties). Accordingly, the Court considers it justified to proceed on the basis that the applicant can now only be tried on the charges indicated in the Diplomatic Note of 3</w:t>
      </w:r>
      <w:r w:rsidR="001565CF" w:rsidRPr="00D81559">
        <w:t> </w:t>
      </w:r>
      <w:r w:rsidR="00AB3504" w:rsidRPr="00D81559">
        <w:t>December 2021 and specified in the new extradition decree issued on 7</w:t>
      </w:r>
      <w:r w:rsidR="001565CF" w:rsidRPr="00D81559">
        <w:t> </w:t>
      </w:r>
      <w:r w:rsidR="00AB3504" w:rsidRPr="00D81559">
        <w:t xml:space="preserve">December 2021. Consequently, if convicted of these charges, she faces at most the prospect of life imprisonment with eligibility for parole (see paragraphs </w:t>
      </w:r>
      <w:r w:rsidR="008C1DDD" w:rsidRPr="00D81559">
        <w:fldChar w:fldCharType="begin"/>
      </w:r>
      <w:r w:rsidR="008C1DDD" w:rsidRPr="00D81559">
        <w:instrText xml:space="preserve"> REF Michigan_Law_murder2 \h  \* CharFormat </w:instrText>
      </w:r>
      <w:r w:rsidR="008C1DDD" w:rsidRPr="00D81559">
        <w:fldChar w:fldCharType="separate"/>
      </w:r>
      <w:r w:rsidR="00D81559" w:rsidRPr="00D81559">
        <w:t>37</w:t>
      </w:r>
      <w:r w:rsidR="008C1DDD" w:rsidRPr="00D81559">
        <w:fldChar w:fldCharType="end"/>
      </w:r>
      <w:r w:rsidR="00AB3504" w:rsidRPr="00D81559">
        <w:t xml:space="preserve"> and </w:t>
      </w:r>
      <w:r w:rsidR="008C1DDD" w:rsidRPr="00D81559">
        <w:fldChar w:fldCharType="begin"/>
      </w:r>
      <w:r w:rsidR="008C1DDD" w:rsidRPr="00D81559">
        <w:instrText xml:space="preserve"> REF Michigan_Law_subsection7 \h  \* CharFormat </w:instrText>
      </w:r>
      <w:r w:rsidR="008C1DDD" w:rsidRPr="00D81559">
        <w:fldChar w:fldCharType="separate"/>
      </w:r>
      <w:r w:rsidR="00D81559" w:rsidRPr="00D81559">
        <w:t>39</w:t>
      </w:r>
      <w:r w:rsidR="008C1DDD" w:rsidRPr="00D81559">
        <w:fldChar w:fldCharType="end"/>
      </w:r>
      <w:r w:rsidR="00AB3504" w:rsidRPr="00D81559">
        <w:t xml:space="preserve"> above). The Court further notes the statement of the Italian Government at the hearing that, as the other party to the extradition treaty between the two States, it regards the note as a binding representation on the part of the Government of the United States.</w:t>
      </w:r>
    </w:p>
    <w:p w14:paraId="45A1E00C" w14:textId="6DA97D69"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53</w:t>
      </w:r>
      <w:r>
        <w:rPr>
          <w:noProof/>
        </w:rPr>
        <w:fldChar w:fldCharType="end"/>
      </w:r>
      <w:r w:rsidR="00AB3504" w:rsidRPr="00D81559">
        <w:t>.  The applicant has submitted that such a sentence must be regarded as “irreducible” within the meaning of the Court</w:t>
      </w:r>
      <w:r w:rsidR="00D91E18" w:rsidRPr="00D81559">
        <w:t>’</w:t>
      </w:r>
      <w:r w:rsidR="00AB3504" w:rsidRPr="00D81559">
        <w:t xml:space="preserve">s case-law, on account of the role of the Governor of Michigan in the parole system in that State, which she argues is a decisive one. The Court observes, however, that this argument relates to a matter that cannot be regarded as pertaining to the essence of the </w:t>
      </w:r>
      <w:proofErr w:type="spellStart"/>
      <w:r w:rsidR="00AB3504" w:rsidRPr="00D81559">
        <w:rPr>
          <w:i/>
          <w:iCs/>
        </w:rPr>
        <w:t>Vinter</w:t>
      </w:r>
      <w:proofErr w:type="spellEnd"/>
      <w:r w:rsidR="00AB3504" w:rsidRPr="00D81559">
        <w:t xml:space="preserve"> safeguard (see </w:t>
      </w:r>
      <w:proofErr w:type="spellStart"/>
      <w:r w:rsidR="00AB3504" w:rsidRPr="00D81559">
        <w:rPr>
          <w:i/>
        </w:rPr>
        <w:t>Vinter</w:t>
      </w:r>
      <w:proofErr w:type="spellEnd"/>
      <w:r w:rsidR="00AB3504" w:rsidRPr="00D81559">
        <w:rPr>
          <w:i/>
        </w:rPr>
        <w:t xml:space="preserve"> and Others v. the United Kingdom</w:t>
      </w:r>
      <w:r w:rsidR="00AB3504" w:rsidRPr="00D81559">
        <w:t xml:space="preserve"> [GC], nos.</w:t>
      </w:r>
      <w:r w:rsidR="001565CF" w:rsidRPr="00D81559">
        <w:t> </w:t>
      </w:r>
      <w:r w:rsidR="00AB3504" w:rsidRPr="00D81559">
        <w:t>66069/09 and 2 others, ECHR 2013 (extracts)), but rather is more in the nature of a procedural guarantee. It refers to the distinction between the substantive obligation and the related procedural safeguards that derive from Article 3 when it comes to the issue of life sentences in the extradition context (see today</w:t>
      </w:r>
      <w:r w:rsidR="00D91E18" w:rsidRPr="00D81559">
        <w:t>’</w:t>
      </w:r>
      <w:r w:rsidR="00AB3504" w:rsidRPr="00D81559">
        <w:t xml:space="preserve">s judgment in the case of </w:t>
      </w:r>
      <w:r w:rsidR="00AB3504" w:rsidRPr="00D81559">
        <w:rPr>
          <w:i/>
          <w:iCs/>
        </w:rPr>
        <w:t>Sanchez-Sanchez v. United Kingdom</w:t>
      </w:r>
      <w:r w:rsidR="00AB3504" w:rsidRPr="00D81559">
        <w:t xml:space="preserve"> [GC], no. 22854/20, § 93). The availability of procedural safeguards for “whole life prisoners” in the legal system of the requesting State is not a </w:t>
      </w:r>
      <w:r w:rsidR="00AB3504" w:rsidRPr="00D81559">
        <w:lastRenderedPageBreak/>
        <w:t>prerequisite for compliance by the requested Contracting State with Article 3 (ibid, § 96).</w:t>
      </w:r>
    </w:p>
    <w:p w14:paraId="6E1D030D" w14:textId="251FAA9A" w:rsidR="00AB3504" w:rsidRPr="00D81559" w:rsidRDefault="00EC6877" w:rsidP="00D81559">
      <w:pPr>
        <w:pStyle w:val="JuPara"/>
      </w:pPr>
      <w:r>
        <w:fldChar w:fldCharType="begin"/>
      </w:r>
      <w:r>
        <w:instrText xml:space="preserve"> S</w:instrText>
      </w:r>
      <w:r>
        <w:instrText xml:space="preserve">EQ level0 \*arabic \* MERGEFORMAT </w:instrText>
      </w:r>
      <w:r>
        <w:fldChar w:fldCharType="separate"/>
      </w:r>
      <w:r w:rsidR="00D81559" w:rsidRPr="00D81559">
        <w:rPr>
          <w:noProof/>
        </w:rPr>
        <w:t>54</w:t>
      </w:r>
      <w:r>
        <w:rPr>
          <w:noProof/>
        </w:rPr>
        <w:fldChar w:fldCharType="end"/>
      </w:r>
      <w:r w:rsidR="00AB3504" w:rsidRPr="00D81559">
        <w:t>.  In any event, having taken note of the relevant legislative provisions, the Court is not persuaded that the applicant</w:t>
      </w:r>
      <w:r w:rsidR="00D91E18" w:rsidRPr="00D81559">
        <w:t>’</w:t>
      </w:r>
      <w:r w:rsidR="00AB3504" w:rsidRPr="00D81559">
        <w:t>s understanding of the Michigan system is correct. It observes that, as provided in Michigan Compiled Laws § 791.234(11), a prisoner</w:t>
      </w:r>
      <w:r w:rsidR="00D91E18" w:rsidRPr="00D81559">
        <w:t>’</w:t>
      </w:r>
      <w:r w:rsidR="00AB3504" w:rsidRPr="00D81559">
        <w:t xml:space="preserve">s release on parole is at the discretion of the parole board (see paragraph </w:t>
      </w:r>
      <w:r w:rsidR="008C1DDD" w:rsidRPr="00D81559">
        <w:fldChar w:fldCharType="begin"/>
      </w:r>
      <w:r w:rsidR="008C1DDD" w:rsidRPr="00D81559">
        <w:instrText xml:space="preserve"> REF paragraph00040 \h  \* CharFormat </w:instrText>
      </w:r>
      <w:r w:rsidR="008C1DDD" w:rsidRPr="00D81559">
        <w:fldChar w:fldCharType="separate"/>
      </w:r>
      <w:r w:rsidR="00D81559" w:rsidRPr="00D81559">
        <w:t>40</w:t>
      </w:r>
      <w:r w:rsidR="008C1DDD" w:rsidRPr="00D81559">
        <w:fldChar w:fldCharType="end"/>
      </w:r>
      <w:r w:rsidR="00AB3504" w:rsidRPr="00D81559">
        <w:t xml:space="preserve"> above). While the Governor of Michigan indeed enjoys a broad power of executive clemency, he or she is not involved in the parole procedure. Nor do the relevant legal provisions empower the Governor to overrule the grant of parole to a prisoner. As indicated above, appeal against the grant of parole lies to the competent circuit court.</w:t>
      </w:r>
    </w:p>
    <w:p w14:paraId="6A0AE9A1" w14:textId="6A9EB75A"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55</w:t>
      </w:r>
      <w:r>
        <w:rPr>
          <w:noProof/>
        </w:rPr>
        <w:fldChar w:fldCharType="end"/>
      </w:r>
      <w:r w:rsidR="00AB3504" w:rsidRPr="00D81559">
        <w:t xml:space="preserve">.  An applicant who alleges that their extradition would expose them to a risk of a sentence that would constitute inhuman or degrading punishment bears the burden of proving the reality of that risk (as most recently reiterated in </w:t>
      </w:r>
      <w:r w:rsidR="00AB3504" w:rsidRPr="00D81559">
        <w:rPr>
          <w:i/>
          <w:iCs/>
        </w:rPr>
        <w:t>Sanchez-Sanchez</w:t>
      </w:r>
      <w:r w:rsidR="00AB3504" w:rsidRPr="00D81559">
        <w:t xml:space="preserve">, cited above, </w:t>
      </w:r>
      <w:r w:rsidR="00AB3504" w:rsidRPr="00D81559">
        <w:rPr>
          <w:rFonts w:cstheme="minorHAnsi"/>
        </w:rPr>
        <w:t xml:space="preserve">§ </w:t>
      </w:r>
      <w:r w:rsidR="00AB3504" w:rsidRPr="00D81559">
        <w:t>87 with further references). In light of all of the above-mentioned factors, the Court considers that the applicant has not discharged that burden. Contrary to her claim, it appears that there is no real risk of the applicant receiving an irreducible life sentence, i.e., life imprisonment without eligibility for parole, in the event of conviction of the charges now pending against her in Michigan.</w:t>
      </w:r>
    </w:p>
    <w:p w14:paraId="3FB1B282" w14:textId="1FE91C33" w:rsidR="00AB3504" w:rsidRPr="00D81559" w:rsidRDefault="00EC6877" w:rsidP="00D81559">
      <w:pPr>
        <w:pStyle w:val="JuPara"/>
      </w:pPr>
      <w:r>
        <w:fldChar w:fldCharType="begin"/>
      </w:r>
      <w:r>
        <w:instrText xml:space="preserve"> SEQ level0 \*arabic \* MERGEFORMAT </w:instrText>
      </w:r>
      <w:r>
        <w:fldChar w:fldCharType="separate"/>
      </w:r>
      <w:r w:rsidR="00D81559" w:rsidRPr="00D81559">
        <w:rPr>
          <w:noProof/>
        </w:rPr>
        <w:t>56</w:t>
      </w:r>
      <w:r>
        <w:rPr>
          <w:noProof/>
        </w:rPr>
        <w:fldChar w:fldCharType="end"/>
      </w:r>
      <w:r w:rsidR="00AB3504" w:rsidRPr="00D81559">
        <w:t>.  In light of the foregoing, the Court concludes that this complaint is manifestly ill-founded, within the meaning of Article 35 § 3 and must be rejected, pursuant to Article 35 § 4 of the Convention.</w:t>
      </w:r>
    </w:p>
    <w:p w14:paraId="1F1A0A15" w14:textId="77777777" w:rsidR="00AB3504" w:rsidRPr="00D81559" w:rsidRDefault="00AB3504" w:rsidP="00D81559">
      <w:pPr>
        <w:pStyle w:val="JuParaLast"/>
      </w:pPr>
      <w:r w:rsidRPr="00D81559">
        <w:t>For these reasons, the Court, unanimously,</w:t>
      </w:r>
    </w:p>
    <w:p w14:paraId="45018DD6" w14:textId="77777777" w:rsidR="00AB3504" w:rsidRPr="00D81559" w:rsidRDefault="00AB3504" w:rsidP="00D81559">
      <w:pPr>
        <w:pStyle w:val="DecList"/>
      </w:pPr>
      <w:r w:rsidRPr="00D81559">
        <w:rPr>
          <w:i/>
        </w:rPr>
        <w:t>Declares</w:t>
      </w:r>
      <w:r w:rsidRPr="00D81559">
        <w:t xml:space="preserve"> the application inadmissible.</w:t>
      </w:r>
    </w:p>
    <w:p w14:paraId="67AB2C26" w14:textId="6384D73D" w:rsidR="00BD1692" w:rsidRPr="00D81559" w:rsidRDefault="006267D3" w:rsidP="00D81559">
      <w:pPr>
        <w:pStyle w:val="JuParaLast"/>
        <w:rPr>
          <w:sz w:val="14"/>
        </w:rPr>
      </w:pPr>
      <w:r w:rsidRPr="00D81559">
        <w:t>Done in English</w:t>
      </w:r>
      <w:r w:rsidR="001565CF" w:rsidRPr="00D81559">
        <w:rPr>
          <w:rFonts w:ascii="Times New Roman" w:hAnsi="Times New Roman" w:cs="Times New Roman"/>
          <w:color w:val="000000"/>
        </w:rPr>
        <w:t xml:space="preserve"> and French </w:t>
      </w:r>
      <w:r w:rsidRPr="00D81559">
        <w:t xml:space="preserve">and notified in writing on </w:t>
      </w:r>
      <w:r w:rsidR="006A0741" w:rsidRPr="00D81559">
        <w:t>3</w:t>
      </w:r>
      <w:r w:rsidR="001565CF" w:rsidRPr="00D81559">
        <w:t xml:space="preserve"> </w:t>
      </w:r>
      <w:r w:rsidR="006A0741" w:rsidRPr="00D81559">
        <w:t xml:space="preserve">November </w:t>
      </w:r>
      <w:r w:rsidR="001565CF" w:rsidRPr="00D81559">
        <w:t>2022</w:t>
      </w:r>
      <w:r w:rsidRPr="00D81559">
        <w:t>.</w:t>
      </w:r>
    </w:p>
    <w:p w14:paraId="2CC98CBE" w14:textId="06897A1F" w:rsidR="00BD1692" w:rsidRPr="00D81559" w:rsidRDefault="00C8038F" w:rsidP="00D81559">
      <w:pPr>
        <w:pStyle w:val="ECHRPlaceholder"/>
      </w:pPr>
      <w:r w:rsidRPr="00D81559">
        <w:tab/>
      </w:r>
    </w:p>
    <w:p w14:paraId="4848A47F" w14:textId="016C239D" w:rsidR="00ED04C3" w:rsidRPr="00D81559" w:rsidRDefault="007907C0" w:rsidP="00D81559">
      <w:pPr>
        <w:pStyle w:val="JuSigned"/>
      </w:pPr>
      <w:r w:rsidRPr="00D81559">
        <w:tab/>
      </w:r>
      <w:r w:rsidR="00AB3504" w:rsidRPr="00D81559">
        <w:t xml:space="preserve">Johan </w:t>
      </w:r>
      <w:proofErr w:type="spellStart"/>
      <w:r w:rsidR="00AB3504" w:rsidRPr="00D81559">
        <w:t>Callewaert</w:t>
      </w:r>
      <w:proofErr w:type="spellEnd"/>
      <w:r w:rsidR="001D1233" w:rsidRPr="00D81559">
        <w:tab/>
      </w:r>
      <w:r w:rsidR="00AB3504" w:rsidRPr="00D81559">
        <w:t xml:space="preserve">Jon </w:t>
      </w:r>
      <w:proofErr w:type="spellStart"/>
      <w:r w:rsidR="00AB3504" w:rsidRPr="00D81559">
        <w:t>Fridrik</w:t>
      </w:r>
      <w:proofErr w:type="spellEnd"/>
      <w:r w:rsidR="00AB3504" w:rsidRPr="00D81559">
        <w:t xml:space="preserve"> </w:t>
      </w:r>
      <w:proofErr w:type="spellStart"/>
      <w:r w:rsidR="00AB3504" w:rsidRPr="00D81559">
        <w:t>Kjølbro</w:t>
      </w:r>
      <w:proofErr w:type="spellEnd"/>
      <w:r w:rsidR="001D1233" w:rsidRPr="00D81559">
        <w:br/>
      </w:r>
      <w:r w:rsidR="001D1233" w:rsidRPr="00D81559">
        <w:tab/>
      </w:r>
      <w:r w:rsidR="00AB3504" w:rsidRPr="00D81559">
        <w:t xml:space="preserve">Deputy </w:t>
      </w:r>
      <w:r w:rsidR="00C42146" w:rsidRPr="00D81559">
        <w:t xml:space="preserve">to the </w:t>
      </w:r>
      <w:r w:rsidR="00AB3504" w:rsidRPr="00D81559">
        <w:t>Registrar</w:t>
      </w:r>
      <w:r w:rsidR="006267D3" w:rsidRPr="00D81559">
        <w:tab/>
        <w:t>President</w:t>
      </w:r>
    </w:p>
    <w:sectPr w:rsidR="00ED04C3" w:rsidRPr="00D81559"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9EB1" w14:textId="77777777" w:rsidR="00EC6877" w:rsidRPr="00AB3504" w:rsidRDefault="00EC6877">
      <w:r w:rsidRPr="00AB3504">
        <w:separator/>
      </w:r>
    </w:p>
  </w:endnote>
  <w:endnote w:type="continuationSeparator" w:id="0">
    <w:p w14:paraId="7168B0D5" w14:textId="77777777" w:rsidR="00EC6877" w:rsidRPr="00AB3504" w:rsidRDefault="00EC6877">
      <w:r w:rsidRPr="00AB350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3D789" w14:textId="6FBB806F" w:rsidR="001818B5" w:rsidRPr="00AB3504" w:rsidRDefault="00AB3504"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88E5" w14:textId="1462D17B" w:rsidR="001818B5" w:rsidRPr="00AB3504" w:rsidRDefault="00AB3504"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4A71D" w14:textId="3EBF2087" w:rsidR="00AB3504" w:rsidRPr="00150BFA" w:rsidRDefault="00AB3504" w:rsidP="0020718E">
    <w:pPr>
      <w:jc w:val="center"/>
    </w:pPr>
    <w:r w:rsidRPr="00AB3504">
      <w:rPr>
        <w:noProof/>
        <w:lang w:val="en-US" w:eastAsia="ja-JP"/>
      </w:rPr>
      <w:drawing>
        <wp:inline distT="0" distB="0" distL="0" distR="0" wp14:anchorId="524CFE10" wp14:editId="6EBB95D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CB74B30" w14:textId="2D700D68" w:rsidR="00F05C7B" w:rsidRPr="00AB3504" w:rsidRDefault="00EC6877"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8798B" w14:textId="77777777" w:rsidR="00EC6877" w:rsidRPr="00AB3504" w:rsidRDefault="00EC6877">
      <w:r w:rsidRPr="00AB3504">
        <w:separator/>
      </w:r>
    </w:p>
  </w:footnote>
  <w:footnote w:type="continuationSeparator" w:id="0">
    <w:p w14:paraId="1C655495" w14:textId="77777777" w:rsidR="00EC6877" w:rsidRPr="00AB3504" w:rsidRDefault="00EC6877">
      <w:r w:rsidRPr="00AB350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40730" w14:textId="3FE86B51" w:rsidR="00F05C7B" w:rsidRPr="00AB3504" w:rsidRDefault="00AB3504" w:rsidP="0076040F">
    <w:pPr>
      <w:pStyle w:val="JuHeader"/>
    </w:pPr>
    <w:r>
      <w:t>MCCALLUM v. ITALY</w:t>
    </w:r>
    <w:r w:rsidR="006267D3" w:rsidRPr="00AB3504">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DEF83" w14:textId="06F00686" w:rsidR="00F05C7B" w:rsidRPr="00AB3504" w:rsidRDefault="00AB3504" w:rsidP="000D61E7">
    <w:pPr>
      <w:pStyle w:val="JuHeader"/>
    </w:pPr>
    <w:r>
      <w:t>MCCALLUM v. ITALY</w:t>
    </w:r>
    <w:r w:rsidR="006267D3" w:rsidRPr="00AB3504">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E617" w14:textId="620851F3" w:rsidR="00AB3504" w:rsidRPr="00A45145" w:rsidRDefault="00AB3504" w:rsidP="00A45145">
    <w:pPr>
      <w:jc w:val="center"/>
    </w:pPr>
    <w:r>
      <w:rPr>
        <w:noProof/>
        <w:lang w:val="en-US" w:eastAsia="ja-JP"/>
      </w:rPr>
      <w:drawing>
        <wp:inline distT="0" distB="0" distL="0" distR="0" wp14:anchorId="78503638" wp14:editId="383D09E4">
          <wp:extent cx="2962275" cy="1219200"/>
          <wp:effectExtent l="0" t="0" r="9525" b="0"/>
          <wp:docPr id="15" name="Picture 1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BCD4EEE" w14:textId="18B139EF" w:rsidR="00F05C7B" w:rsidRPr="00AB3504" w:rsidRDefault="00EC6877"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AB3504"/>
    <w:rsid w:val="00082798"/>
    <w:rsid w:val="00095FD8"/>
    <w:rsid w:val="000B1FA9"/>
    <w:rsid w:val="000D61E7"/>
    <w:rsid w:val="000E3A89"/>
    <w:rsid w:val="00132029"/>
    <w:rsid w:val="00144EBC"/>
    <w:rsid w:val="001565CF"/>
    <w:rsid w:val="001D1233"/>
    <w:rsid w:val="00223591"/>
    <w:rsid w:val="002A7443"/>
    <w:rsid w:val="00325C2F"/>
    <w:rsid w:val="003B50D7"/>
    <w:rsid w:val="003E3C60"/>
    <w:rsid w:val="00452087"/>
    <w:rsid w:val="00464268"/>
    <w:rsid w:val="004A4C71"/>
    <w:rsid w:val="004B4E73"/>
    <w:rsid w:val="005A0245"/>
    <w:rsid w:val="005E56C2"/>
    <w:rsid w:val="005F11CB"/>
    <w:rsid w:val="006262FA"/>
    <w:rsid w:val="006267D3"/>
    <w:rsid w:val="006300E9"/>
    <w:rsid w:val="00653EF4"/>
    <w:rsid w:val="00656B81"/>
    <w:rsid w:val="006A0741"/>
    <w:rsid w:val="006A5A26"/>
    <w:rsid w:val="006D4D63"/>
    <w:rsid w:val="006E123B"/>
    <w:rsid w:val="00716034"/>
    <w:rsid w:val="007907C0"/>
    <w:rsid w:val="007A74FC"/>
    <w:rsid w:val="007B2364"/>
    <w:rsid w:val="00812D10"/>
    <w:rsid w:val="008C1DDD"/>
    <w:rsid w:val="008C6E83"/>
    <w:rsid w:val="008D10E4"/>
    <w:rsid w:val="008F0A92"/>
    <w:rsid w:val="008F7189"/>
    <w:rsid w:val="00956B2A"/>
    <w:rsid w:val="0096293E"/>
    <w:rsid w:val="009656DE"/>
    <w:rsid w:val="009B4E21"/>
    <w:rsid w:val="009B6F49"/>
    <w:rsid w:val="009C21E8"/>
    <w:rsid w:val="009E01FB"/>
    <w:rsid w:val="00AA5AEE"/>
    <w:rsid w:val="00AB3504"/>
    <w:rsid w:val="00AC58E5"/>
    <w:rsid w:val="00B10C93"/>
    <w:rsid w:val="00B140D3"/>
    <w:rsid w:val="00B5113C"/>
    <w:rsid w:val="00BD1692"/>
    <w:rsid w:val="00BD18AF"/>
    <w:rsid w:val="00C42146"/>
    <w:rsid w:val="00C42C12"/>
    <w:rsid w:val="00C545AB"/>
    <w:rsid w:val="00C8038F"/>
    <w:rsid w:val="00CB3BD9"/>
    <w:rsid w:val="00D415D6"/>
    <w:rsid w:val="00D81559"/>
    <w:rsid w:val="00D91E18"/>
    <w:rsid w:val="00DB6354"/>
    <w:rsid w:val="00E5464B"/>
    <w:rsid w:val="00E95265"/>
    <w:rsid w:val="00EC6877"/>
    <w:rsid w:val="00EE38CA"/>
    <w:rsid w:val="00F0534F"/>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E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91E18"/>
    <w:rPr>
      <w:sz w:val="24"/>
      <w:szCs w:val="24"/>
      <w:lang w:val="en-GB"/>
    </w:rPr>
  </w:style>
  <w:style w:type="paragraph" w:styleId="Titolo1">
    <w:name w:val="heading 1"/>
    <w:basedOn w:val="Normale"/>
    <w:next w:val="Normale"/>
    <w:link w:val="Titolo1Carattere"/>
    <w:uiPriority w:val="98"/>
    <w:semiHidden/>
    <w:rsid w:val="00D91E1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91E1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91E1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91E1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91E1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91E1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91E1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91E1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91E1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D91E18"/>
    <w:pPr>
      <w:tabs>
        <w:tab w:val="center" w:pos="1418"/>
        <w:tab w:val="center" w:pos="5954"/>
      </w:tabs>
      <w:spacing w:before="720"/>
    </w:pPr>
  </w:style>
  <w:style w:type="paragraph" w:customStyle="1" w:styleId="JuPara">
    <w:name w:val="Ju_Para"/>
    <w:aliases w:val="_Para"/>
    <w:basedOn w:val="NormalJustified"/>
    <w:link w:val="JuParaChar"/>
    <w:uiPriority w:val="4"/>
    <w:qFormat/>
    <w:rsid w:val="00D91E18"/>
    <w:pPr>
      <w:ind w:firstLine="284"/>
    </w:pPr>
  </w:style>
  <w:style w:type="character" w:styleId="Numeropagina">
    <w:name w:val="page number"/>
    <w:uiPriority w:val="98"/>
    <w:semiHidden/>
    <w:rsid w:val="00D91E18"/>
    <w:rPr>
      <w:sz w:val="18"/>
    </w:rPr>
  </w:style>
  <w:style w:type="character" w:styleId="Rimandocommento">
    <w:name w:val="annotation reference"/>
    <w:basedOn w:val="Carpredefinitoparagrafo"/>
    <w:uiPriority w:val="98"/>
    <w:semiHidden/>
    <w:rsid w:val="00D91E18"/>
    <w:rPr>
      <w:sz w:val="16"/>
      <w:szCs w:val="16"/>
    </w:rPr>
  </w:style>
  <w:style w:type="paragraph" w:styleId="Testocommento">
    <w:name w:val="annotation text"/>
    <w:basedOn w:val="Normale"/>
    <w:link w:val="TestocommentoCarattere"/>
    <w:uiPriority w:val="98"/>
    <w:semiHidden/>
    <w:rsid w:val="00D91E18"/>
    <w:rPr>
      <w:sz w:val="20"/>
      <w:szCs w:val="20"/>
    </w:rPr>
  </w:style>
  <w:style w:type="character" w:customStyle="1" w:styleId="TestocommentoCarattere">
    <w:name w:val="Testo commento Carattere"/>
    <w:basedOn w:val="Carpredefinitoparagrafo"/>
    <w:link w:val="Testocommento"/>
    <w:uiPriority w:val="98"/>
    <w:semiHidden/>
    <w:rsid w:val="00D91E18"/>
    <w:rPr>
      <w:sz w:val="20"/>
      <w:szCs w:val="20"/>
      <w:lang w:val="en-GB"/>
    </w:rPr>
  </w:style>
  <w:style w:type="paragraph" w:customStyle="1" w:styleId="DecHTitle">
    <w:name w:val="Dec_H_Title"/>
    <w:aliases w:val="_Title_1"/>
    <w:basedOn w:val="JuPara"/>
    <w:next w:val="JuPara"/>
    <w:uiPriority w:val="38"/>
    <w:qFormat/>
    <w:rsid w:val="00D91E1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91E18"/>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D91E18"/>
    <w:pPr>
      <w:keepNext/>
      <w:keepLines/>
      <w:spacing w:before="1320" w:after="280"/>
      <w:contextualSpacing/>
      <w:jc w:val="center"/>
    </w:pPr>
    <w:rPr>
      <w:b/>
    </w:rPr>
  </w:style>
  <w:style w:type="paragraph" w:customStyle="1" w:styleId="JuHeader">
    <w:name w:val="Ju_Header"/>
    <w:aliases w:val="_Header"/>
    <w:basedOn w:val="Intestazione"/>
    <w:uiPriority w:val="29"/>
    <w:qFormat/>
    <w:rsid w:val="00D91E18"/>
    <w:pPr>
      <w:tabs>
        <w:tab w:val="clear" w:pos="4536"/>
        <w:tab w:val="clear" w:pos="9072"/>
      </w:tabs>
      <w:jc w:val="center"/>
    </w:pPr>
    <w:rPr>
      <w:sz w:val="18"/>
    </w:rPr>
  </w:style>
  <w:style w:type="paragraph" w:styleId="Intestazione">
    <w:name w:val="header"/>
    <w:basedOn w:val="Normale"/>
    <w:link w:val="IntestazioneCarattere"/>
    <w:uiPriority w:val="98"/>
    <w:semiHidden/>
    <w:rsid w:val="00D91E1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91E18"/>
    <w:rPr>
      <w:sz w:val="24"/>
      <w:szCs w:val="24"/>
      <w:lang w:val="en-GB"/>
    </w:rPr>
  </w:style>
  <w:style w:type="paragraph" w:styleId="Testofumetto">
    <w:name w:val="Balloon Text"/>
    <w:basedOn w:val="Normale"/>
    <w:link w:val="TestofumettoCarattere"/>
    <w:uiPriority w:val="98"/>
    <w:semiHidden/>
    <w:rsid w:val="00D91E1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91E18"/>
    <w:rPr>
      <w:rFonts w:ascii="Tahoma" w:hAnsi="Tahoma" w:cs="Tahoma"/>
      <w:sz w:val="16"/>
      <w:szCs w:val="16"/>
      <w:lang w:val="en-GB"/>
    </w:rPr>
  </w:style>
  <w:style w:type="paragraph" w:customStyle="1" w:styleId="DummyStyle">
    <w:name w:val="Dummy_Style"/>
    <w:aliases w:val="_Dummy"/>
    <w:basedOn w:val="Normale"/>
    <w:semiHidden/>
    <w:qFormat/>
    <w:rsid w:val="00D91E18"/>
    <w:rPr>
      <w:color w:val="00B050"/>
      <w:sz w:val="22"/>
    </w:rPr>
  </w:style>
  <w:style w:type="paragraph" w:customStyle="1" w:styleId="NormalJustified">
    <w:name w:val="Normal_Justified"/>
    <w:basedOn w:val="Normale"/>
    <w:semiHidden/>
    <w:rsid w:val="00D91E18"/>
    <w:pPr>
      <w:jc w:val="both"/>
    </w:pPr>
  </w:style>
  <w:style w:type="paragraph" w:customStyle="1" w:styleId="JuQuot">
    <w:name w:val="Ju_Quot"/>
    <w:aliases w:val="_Quote"/>
    <w:basedOn w:val="NormalJustified"/>
    <w:uiPriority w:val="20"/>
    <w:qFormat/>
    <w:rsid w:val="00D91E18"/>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D91E18"/>
    <w:pPr>
      <w:keepNext/>
      <w:keepLines/>
      <w:tabs>
        <w:tab w:val="right" w:pos="7938"/>
      </w:tabs>
      <w:ind w:firstLine="0"/>
      <w:jc w:val="center"/>
    </w:pPr>
    <w:rPr>
      <w:i/>
    </w:rPr>
  </w:style>
  <w:style w:type="table" w:customStyle="1" w:styleId="ECHRDNTable">
    <w:name w:val="ECHR_DN_Table"/>
    <w:basedOn w:val="Tabellanormale"/>
    <w:uiPriority w:val="99"/>
    <w:rsid w:val="00D91E1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D91E18"/>
    <w:pPr>
      <w:numPr>
        <w:numId w:val="14"/>
      </w:numPr>
    </w:pPr>
  </w:style>
  <w:style w:type="numbering" w:customStyle="1" w:styleId="ECHRA1StyleList">
    <w:name w:val="ECHR_A1_Style_List"/>
    <w:basedOn w:val="Nessunelenco"/>
    <w:uiPriority w:val="99"/>
    <w:rsid w:val="00D91E18"/>
    <w:pPr>
      <w:numPr>
        <w:numId w:val="15"/>
      </w:numPr>
    </w:pPr>
  </w:style>
  <w:style w:type="paragraph" w:customStyle="1" w:styleId="JuHArticle">
    <w:name w:val="Ju_H_Article"/>
    <w:aliases w:val="_Title_Quote"/>
    <w:basedOn w:val="Normale"/>
    <w:next w:val="JuQuot"/>
    <w:uiPriority w:val="19"/>
    <w:qFormat/>
    <w:rsid w:val="00D91E18"/>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D91E18"/>
    <w:pPr>
      <w:numPr>
        <w:numId w:val="16"/>
      </w:numPr>
    </w:pPr>
  </w:style>
  <w:style w:type="table" w:customStyle="1" w:styleId="ECHRHeaderTable">
    <w:name w:val="ECHR_Header_Table"/>
    <w:basedOn w:val="Tabellanormale"/>
    <w:uiPriority w:val="99"/>
    <w:rsid w:val="00D91E1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D91E18"/>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D91E18"/>
    <w:pPr>
      <w:tabs>
        <w:tab w:val="center" w:pos="6407"/>
      </w:tabs>
      <w:spacing w:before="720"/>
      <w:jc w:val="right"/>
    </w:pPr>
  </w:style>
  <w:style w:type="table" w:customStyle="1" w:styleId="ECHRHeaderTableReduced">
    <w:name w:val="ECHR_Header_Table_Reduced"/>
    <w:basedOn w:val="Tabellanormale"/>
    <w:uiPriority w:val="99"/>
    <w:rsid w:val="00D91E1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D91E18"/>
    <w:rPr>
      <w:caps w:val="0"/>
      <w:smallCaps/>
    </w:rPr>
  </w:style>
  <w:style w:type="character" w:customStyle="1" w:styleId="JuITMark">
    <w:name w:val="Ju_ITMark"/>
    <w:aliases w:val="_ITMark"/>
    <w:basedOn w:val="Carpredefinitoparagrafo"/>
    <w:uiPriority w:val="54"/>
    <w:qFormat/>
    <w:rsid w:val="00D91E18"/>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D91E1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D91E1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D91E18"/>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91E1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91E18"/>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91E1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91E18"/>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91E1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91E18"/>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91E1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91E18"/>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91E1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91E18"/>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91E1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91E18"/>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91E1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91E18"/>
    <w:pPr>
      <w:keepNext/>
      <w:keepLines/>
      <w:spacing w:before="240" w:after="240"/>
      <w:ind w:firstLine="284"/>
    </w:pPr>
  </w:style>
  <w:style w:type="table" w:customStyle="1" w:styleId="ECHRTableBoxHeader">
    <w:name w:val="ECHR_Table_Box_Header"/>
    <w:basedOn w:val="Tabellanormale"/>
    <w:rsid w:val="00D91E1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D91E18"/>
    <w:pPr>
      <w:tabs>
        <w:tab w:val="left" w:pos="567"/>
        <w:tab w:val="left" w:pos="1134"/>
      </w:tabs>
    </w:pPr>
  </w:style>
  <w:style w:type="paragraph" w:customStyle="1" w:styleId="JuList">
    <w:name w:val="Ju_List"/>
    <w:aliases w:val="_List_1"/>
    <w:basedOn w:val="NormalJustified"/>
    <w:uiPriority w:val="23"/>
    <w:qFormat/>
    <w:rsid w:val="00D91E18"/>
    <w:pPr>
      <w:numPr>
        <w:numId w:val="20"/>
      </w:numPr>
      <w:spacing w:before="280" w:after="60"/>
    </w:pPr>
  </w:style>
  <w:style w:type="paragraph" w:customStyle="1" w:styleId="JuLista">
    <w:name w:val="Ju_List_a"/>
    <w:aliases w:val="_List_2"/>
    <w:basedOn w:val="NormalJustified"/>
    <w:uiPriority w:val="23"/>
    <w:rsid w:val="00D91E18"/>
    <w:pPr>
      <w:numPr>
        <w:ilvl w:val="1"/>
        <w:numId w:val="20"/>
      </w:numPr>
    </w:pPr>
  </w:style>
  <w:style w:type="paragraph" w:customStyle="1" w:styleId="JuListi">
    <w:name w:val="Ju_List_i"/>
    <w:aliases w:val="_List_3"/>
    <w:basedOn w:val="NormalJustified"/>
    <w:uiPriority w:val="23"/>
    <w:rsid w:val="00D91E18"/>
    <w:pPr>
      <w:numPr>
        <w:ilvl w:val="2"/>
        <w:numId w:val="20"/>
      </w:numPr>
    </w:pPr>
  </w:style>
  <w:style w:type="table" w:customStyle="1" w:styleId="ECHRTableFax">
    <w:name w:val="ECHR_Table_Fax"/>
    <w:basedOn w:val="Tabellanormale"/>
    <w:uiPriority w:val="99"/>
    <w:rsid w:val="00D91E1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D91E1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D91E1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D91E1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91E1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91E1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91E1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91E1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91E1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91E18"/>
    <w:rPr>
      <w:b/>
      <w:bCs/>
    </w:rPr>
  </w:style>
  <w:style w:type="character" w:styleId="Enfasicorsivo">
    <w:name w:val="Emphasis"/>
    <w:uiPriority w:val="98"/>
    <w:semiHidden/>
    <w:qFormat/>
    <w:rsid w:val="00D91E1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91E18"/>
  </w:style>
  <w:style w:type="character" w:customStyle="1" w:styleId="NessunaspaziaturaCarattere">
    <w:name w:val="Nessuna spaziatura Carattere"/>
    <w:basedOn w:val="Carpredefinitoparagrafo"/>
    <w:link w:val="Nessunaspaziatura"/>
    <w:uiPriority w:val="98"/>
    <w:semiHidden/>
    <w:rsid w:val="00D91E18"/>
    <w:rPr>
      <w:sz w:val="24"/>
      <w:szCs w:val="24"/>
      <w:lang w:val="en-GB"/>
    </w:rPr>
  </w:style>
  <w:style w:type="paragraph" w:styleId="Paragrafoelenco">
    <w:name w:val="List Paragraph"/>
    <w:basedOn w:val="Normale"/>
    <w:uiPriority w:val="98"/>
    <w:semiHidden/>
    <w:qFormat/>
    <w:rsid w:val="00D91E18"/>
    <w:pPr>
      <w:ind w:left="720"/>
      <w:contextualSpacing/>
    </w:pPr>
  </w:style>
  <w:style w:type="paragraph" w:styleId="Citazione">
    <w:name w:val="Quote"/>
    <w:basedOn w:val="Normale"/>
    <w:next w:val="Normale"/>
    <w:link w:val="CitazioneCarattere"/>
    <w:uiPriority w:val="98"/>
    <w:semiHidden/>
    <w:qFormat/>
    <w:rsid w:val="00D91E1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91E18"/>
    <w:rPr>
      <w:i/>
      <w:iCs/>
      <w:sz w:val="24"/>
      <w:szCs w:val="24"/>
      <w:lang w:val="en-GB" w:bidi="en-US"/>
    </w:rPr>
  </w:style>
  <w:style w:type="paragraph" w:styleId="Citazioneintensa">
    <w:name w:val="Intense Quote"/>
    <w:basedOn w:val="Normale"/>
    <w:next w:val="Normale"/>
    <w:link w:val="CitazioneintensaCarattere"/>
    <w:uiPriority w:val="98"/>
    <w:semiHidden/>
    <w:qFormat/>
    <w:rsid w:val="00D91E1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91E18"/>
    <w:rPr>
      <w:b/>
      <w:bCs/>
      <w:i/>
      <w:iCs/>
      <w:sz w:val="24"/>
      <w:szCs w:val="24"/>
      <w:lang w:val="en-GB" w:bidi="en-US"/>
    </w:rPr>
  </w:style>
  <w:style w:type="character" w:styleId="Enfasidelicata">
    <w:name w:val="Subtle Emphasis"/>
    <w:uiPriority w:val="98"/>
    <w:semiHidden/>
    <w:qFormat/>
    <w:rsid w:val="00D91E18"/>
    <w:rPr>
      <w:i/>
      <w:iCs/>
    </w:rPr>
  </w:style>
  <w:style w:type="character" w:styleId="Enfasiintensa">
    <w:name w:val="Intense Emphasis"/>
    <w:uiPriority w:val="98"/>
    <w:semiHidden/>
    <w:qFormat/>
    <w:rsid w:val="00D91E18"/>
    <w:rPr>
      <w:b/>
      <w:bCs/>
    </w:rPr>
  </w:style>
  <w:style w:type="character" w:styleId="Riferimentodelicato">
    <w:name w:val="Subtle Reference"/>
    <w:uiPriority w:val="98"/>
    <w:semiHidden/>
    <w:qFormat/>
    <w:rsid w:val="00D91E18"/>
    <w:rPr>
      <w:smallCaps/>
    </w:rPr>
  </w:style>
  <w:style w:type="character" w:styleId="Riferimentointenso">
    <w:name w:val="Intense Reference"/>
    <w:uiPriority w:val="98"/>
    <w:semiHidden/>
    <w:qFormat/>
    <w:rsid w:val="00D91E18"/>
    <w:rPr>
      <w:smallCaps/>
      <w:spacing w:val="5"/>
      <w:u w:val="single"/>
    </w:rPr>
  </w:style>
  <w:style w:type="character" w:styleId="Titolodellibro">
    <w:name w:val="Book Title"/>
    <w:uiPriority w:val="98"/>
    <w:semiHidden/>
    <w:qFormat/>
    <w:rsid w:val="00D91E18"/>
    <w:rPr>
      <w:i/>
      <w:iCs/>
      <w:smallCaps/>
      <w:spacing w:val="5"/>
    </w:rPr>
  </w:style>
  <w:style w:type="paragraph" w:styleId="Titolosommario">
    <w:name w:val="TOC Heading"/>
    <w:basedOn w:val="Normale"/>
    <w:next w:val="Normale"/>
    <w:uiPriority w:val="98"/>
    <w:semiHidden/>
    <w:qFormat/>
    <w:rsid w:val="00D91E1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91E18"/>
    <w:pPr>
      <w:numPr>
        <w:numId w:val="1"/>
      </w:numPr>
    </w:pPr>
  </w:style>
  <w:style w:type="numbering" w:styleId="1ai">
    <w:name w:val="Outline List 1"/>
    <w:basedOn w:val="Nessunelenco"/>
    <w:uiPriority w:val="99"/>
    <w:semiHidden/>
    <w:unhideWhenUsed/>
    <w:rsid w:val="00D91E18"/>
    <w:pPr>
      <w:numPr>
        <w:numId w:val="2"/>
      </w:numPr>
    </w:pPr>
  </w:style>
  <w:style w:type="numbering" w:styleId="ArticoloSezione">
    <w:name w:val="Outline List 3"/>
    <w:basedOn w:val="Nessunelenco"/>
    <w:uiPriority w:val="99"/>
    <w:semiHidden/>
    <w:unhideWhenUsed/>
    <w:rsid w:val="00D91E18"/>
    <w:pPr>
      <w:numPr>
        <w:numId w:val="3"/>
      </w:numPr>
    </w:pPr>
  </w:style>
  <w:style w:type="paragraph" w:styleId="Bibliografia">
    <w:name w:val="Bibliography"/>
    <w:basedOn w:val="Normale"/>
    <w:next w:val="Normale"/>
    <w:uiPriority w:val="98"/>
    <w:semiHidden/>
    <w:rsid w:val="00D91E18"/>
  </w:style>
  <w:style w:type="paragraph" w:styleId="Testodelblocco">
    <w:name w:val="Block Text"/>
    <w:basedOn w:val="Normale"/>
    <w:uiPriority w:val="98"/>
    <w:semiHidden/>
    <w:rsid w:val="00D91E1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91E18"/>
    <w:pPr>
      <w:spacing w:after="120"/>
    </w:pPr>
  </w:style>
  <w:style w:type="character" w:customStyle="1" w:styleId="CorpotestoCarattere">
    <w:name w:val="Corpo testo Carattere"/>
    <w:basedOn w:val="Carpredefinitoparagrafo"/>
    <w:link w:val="Corpotesto"/>
    <w:uiPriority w:val="98"/>
    <w:semiHidden/>
    <w:rsid w:val="00D91E18"/>
    <w:rPr>
      <w:sz w:val="24"/>
      <w:szCs w:val="24"/>
      <w:lang w:val="en-GB"/>
    </w:rPr>
  </w:style>
  <w:style w:type="paragraph" w:styleId="Corpodeltesto2">
    <w:name w:val="Body Text 2"/>
    <w:basedOn w:val="Normale"/>
    <w:link w:val="Corpodeltesto2Carattere"/>
    <w:uiPriority w:val="98"/>
    <w:semiHidden/>
    <w:rsid w:val="00D91E18"/>
    <w:pPr>
      <w:spacing w:after="120" w:line="480" w:lineRule="auto"/>
    </w:pPr>
  </w:style>
  <w:style w:type="character" w:customStyle="1" w:styleId="Corpodeltesto2Carattere">
    <w:name w:val="Corpo del testo 2 Carattere"/>
    <w:basedOn w:val="Carpredefinitoparagrafo"/>
    <w:link w:val="Corpodeltesto2"/>
    <w:uiPriority w:val="98"/>
    <w:semiHidden/>
    <w:rsid w:val="00D91E18"/>
    <w:rPr>
      <w:sz w:val="24"/>
      <w:szCs w:val="24"/>
      <w:lang w:val="en-GB"/>
    </w:rPr>
  </w:style>
  <w:style w:type="paragraph" w:styleId="Corpodeltesto3">
    <w:name w:val="Body Text 3"/>
    <w:basedOn w:val="Normale"/>
    <w:link w:val="Corpodeltesto3Carattere"/>
    <w:uiPriority w:val="98"/>
    <w:semiHidden/>
    <w:rsid w:val="00D91E1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91E18"/>
    <w:rPr>
      <w:sz w:val="16"/>
      <w:szCs w:val="16"/>
      <w:lang w:val="en-GB"/>
    </w:rPr>
  </w:style>
  <w:style w:type="paragraph" w:styleId="Primorientrocorpodeltesto">
    <w:name w:val="Body Text First Indent"/>
    <w:basedOn w:val="Corpotesto"/>
    <w:link w:val="PrimorientrocorpodeltestoCarattere"/>
    <w:uiPriority w:val="98"/>
    <w:semiHidden/>
    <w:rsid w:val="00D91E1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91E18"/>
    <w:rPr>
      <w:sz w:val="24"/>
      <w:szCs w:val="24"/>
      <w:lang w:val="en-GB"/>
    </w:rPr>
  </w:style>
  <w:style w:type="paragraph" w:styleId="Rientrocorpodeltesto">
    <w:name w:val="Body Text Indent"/>
    <w:basedOn w:val="Normale"/>
    <w:link w:val="RientrocorpodeltestoCarattere"/>
    <w:uiPriority w:val="98"/>
    <w:semiHidden/>
    <w:rsid w:val="00D91E1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91E18"/>
    <w:rPr>
      <w:sz w:val="24"/>
      <w:szCs w:val="24"/>
      <w:lang w:val="en-GB"/>
    </w:rPr>
  </w:style>
  <w:style w:type="paragraph" w:styleId="Primorientrocorpodeltesto2">
    <w:name w:val="Body Text First Indent 2"/>
    <w:basedOn w:val="Rientrocorpodeltesto"/>
    <w:link w:val="Primorientrocorpodeltesto2Carattere"/>
    <w:uiPriority w:val="98"/>
    <w:semiHidden/>
    <w:rsid w:val="00D91E1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91E18"/>
    <w:rPr>
      <w:sz w:val="24"/>
      <w:szCs w:val="24"/>
      <w:lang w:val="en-GB"/>
    </w:rPr>
  </w:style>
  <w:style w:type="paragraph" w:styleId="Rientrocorpodeltesto2">
    <w:name w:val="Body Text Indent 2"/>
    <w:basedOn w:val="Normale"/>
    <w:link w:val="Rientrocorpodeltesto2Carattere"/>
    <w:uiPriority w:val="98"/>
    <w:semiHidden/>
    <w:rsid w:val="00D91E1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91E18"/>
    <w:rPr>
      <w:sz w:val="24"/>
      <w:szCs w:val="24"/>
      <w:lang w:val="en-GB"/>
    </w:rPr>
  </w:style>
  <w:style w:type="paragraph" w:styleId="Rientrocorpodeltesto3">
    <w:name w:val="Body Text Indent 3"/>
    <w:basedOn w:val="Normale"/>
    <w:link w:val="Rientrocorpodeltesto3Carattere"/>
    <w:uiPriority w:val="98"/>
    <w:semiHidden/>
    <w:rsid w:val="00D91E1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91E18"/>
    <w:rPr>
      <w:sz w:val="16"/>
      <w:szCs w:val="16"/>
      <w:lang w:val="en-GB"/>
    </w:rPr>
  </w:style>
  <w:style w:type="paragraph" w:styleId="Didascalia">
    <w:name w:val="caption"/>
    <w:basedOn w:val="Normale"/>
    <w:next w:val="Normale"/>
    <w:uiPriority w:val="98"/>
    <w:semiHidden/>
    <w:qFormat/>
    <w:rsid w:val="00D91E1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91E18"/>
    <w:pPr>
      <w:ind w:left="4252"/>
    </w:pPr>
  </w:style>
  <w:style w:type="character" w:customStyle="1" w:styleId="FormuladichiusuraCarattere">
    <w:name w:val="Formula di chiusura Carattere"/>
    <w:basedOn w:val="Carpredefinitoparagrafo"/>
    <w:link w:val="Formuladichiusura"/>
    <w:uiPriority w:val="98"/>
    <w:semiHidden/>
    <w:rsid w:val="00D91E18"/>
    <w:rPr>
      <w:sz w:val="24"/>
      <w:szCs w:val="24"/>
      <w:lang w:val="en-GB"/>
    </w:rPr>
  </w:style>
  <w:style w:type="table" w:styleId="Grigliaacolori">
    <w:name w:val="Colorful Grid"/>
    <w:basedOn w:val="Tabellanormale"/>
    <w:uiPriority w:val="73"/>
    <w:semiHidden/>
    <w:rsid w:val="00D91E1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91E1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91E1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91E1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91E1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91E1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91E1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91E1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91E1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91E1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91E1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91E1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91E1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91E1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91E1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91E1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91E1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91E1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91E1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91E1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91E1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91E18"/>
    <w:rPr>
      <w:b/>
      <w:bCs/>
    </w:rPr>
  </w:style>
  <w:style w:type="character" w:customStyle="1" w:styleId="SoggettocommentoCarattere">
    <w:name w:val="Soggetto commento Carattere"/>
    <w:basedOn w:val="TestocommentoCarattere"/>
    <w:link w:val="Soggettocommento"/>
    <w:uiPriority w:val="98"/>
    <w:semiHidden/>
    <w:rsid w:val="00D91E18"/>
    <w:rPr>
      <w:b/>
      <w:bCs/>
      <w:sz w:val="20"/>
      <w:szCs w:val="20"/>
      <w:lang w:val="en-GB"/>
    </w:rPr>
  </w:style>
  <w:style w:type="table" w:styleId="Elencoscuro">
    <w:name w:val="Dark List"/>
    <w:basedOn w:val="Tabellanormale"/>
    <w:uiPriority w:val="70"/>
    <w:semiHidden/>
    <w:rsid w:val="00D91E1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91E1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91E1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91E1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91E1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91E1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91E1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91E18"/>
  </w:style>
  <w:style w:type="character" w:customStyle="1" w:styleId="DataCarattere">
    <w:name w:val="Data Carattere"/>
    <w:basedOn w:val="Carpredefinitoparagrafo"/>
    <w:link w:val="Data"/>
    <w:uiPriority w:val="98"/>
    <w:semiHidden/>
    <w:rsid w:val="00D91E18"/>
    <w:rPr>
      <w:sz w:val="24"/>
      <w:szCs w:val="24"/>
      <w:lang w:val="en-GB"/>
    </w:rPr>
  </w:style>
  <w:style w:type="paragraph" w:styleId="Mappadocumento">
    <w:name w:val="Document Map"/>
    <w:basedOn w:val="Normale"/>
    <w:link w:val="MappadocumentoCarattere"/>
    <w:uiPriority w:val="98"/>
    <w:semiHidden/>
    <w:rsid w:val="00D91E1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91E1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91E18"/>
  </w:style>
  <w:style w:type="character" w:customStyle="1" w:styleId="FirmadipostaelettronicaCarattere">
    <w:name w:val="Firma di posta elettronica Carattere"/>
    <w:basedOn w:val="Carpredefinitoparagrafo"/>
    <w:link w:val="Firmadipostaelettronica"/>
    <w:uiPriority w:val="98"/>
    <w:semiHidden/>
    <w:rsid w:val="00D91E18"/>
    <w:rPr>
      <w:sz w:val="24"/>
      <w:szCs w:val="24"/>
      <w:lang w:val="en-GB"/>
    </w:rPr>
  </w:style>
  <w:style w:type="character" w:styleId="Rimandonotadichiusura">
    <w:name w:val="endnote reference"/>
    <w:basedOn w:val="Carpredefinitoparagrafo"/>
    <w:uiPriority w:val="98"/>
    <w:semiHidden/>
    <w:rsid w:val="00D91E18"/>
    <w:rPr>
      <w:vertAlign w:val="superscript"/>
    </w:rPr>
  </w:style>
  <w:style w:type="paragraph" w:styleId="Testonotadichiusura">
    <w:name w:val="endnote text"/>
    <w:basedOn w:val="Normale"/>
    <w:link w:val="TestonotadichiusuraCarattere"/>
    <w:uiPriority w:val="98"/>
    <w:semiHidden/>
    <w:rsid w:val="00D91E18"/>
    <w:rPr>
      <w:sz w:val="20"/>
      <w:szCs w:val="20"/>
    </w:rPr>
  </w:style>
  <w:style w:type="character" w:customStyle="1" w:styleId="TestonotadichiusuraCarattere">
    <w:name w:val="Testo nota di chiusura Carattere"/>
    <w:basedOn w:val="Carpredefinitoparagrafo"/>
    <w:link w:val="Testonotadichiusura"/>
    <w:uiPriority w:val="98"/>
    <w:semiHidden/>
    <w:rsid w:val="00D91E18"/>
    <w:rPr>
      <w:sz w:val="20"/>
      <w:szCs w:val="20"/>
      <w:lang w:val="en-GB"/>
    </w:rPr>
  </w:style>
  <w:style w:type="paragraph" w:styleId="Indirizzodestinatario">
    <w:name w:val="envelope address"/>
    <w:basedOn w:val="Normale"/>
    <w:uiPriority w:val="98"/>
    <w:semiHidden/>
    <w:rsid w:val="00D91E1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91E1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91E18"/>
    <w:rPr>
      <w:color w:val="7030A0" w:themeColor="followedHyperlink"/>
      <w:u w:val="single"/>
    </w:rPr>
  </w:style>
  <w:style w:type="character" w:styleId="Rimandonotaapidipagina">
    <w:name w:val="footnote reference"/>
    <w:basedOn w:val="Carpredefinitoparagrafo"/>
    <w:uiPriority w:val="98"/>
    <w:semiHidden/>
    <w:rsid w:val="00D91E18"/>
    <w:rPr>
      <w:vertAlign w:val="superscript"/>
    </w:rPr>
  </w:style>
  <w:style w:type="paragraph" w:styleId="Testonotaapidipagina">
    <w:name w:val="footnote text"/>
    <w:basedOn w:val="NormalJustified"/>
    <w:link w:val="TestonotaapidipaginaCarattere"/>
    <w:uiPriority w:val="98"/>
    <w:semiHidden/>
    <w:rsid w:val="00D91E18"/>
    <w:rPr>
      <w:sz w:val="20"/>
      <w:szCs w:val="20"/>
    </w:rPr>
  </w:style>
  <w:style w:type="character" w:customStyle="1" w:styleId="TestonotaapidipaginaCarattere">
    <w:name w:val="Testo nota a piè di pagina Carattere"/>
    <w:basedOn w:val="Carpredefinitoparagrafo"/>
    <w:link w:val="Testonotaapidipagina"/>
    <w:uiPriority w:val="98"/>
    <w:semiHidden/>
    <w:rsid w:val="00D91E18"/>
    <w:rPr>
      <w:sz w:val="20"/>
      <w:szCs w:val="20"/>
      <w:lang w:val="en-GB"/>
    </w:rPr>
  </w:style>
  <w:style w:type="character" w:styleId="AcronimoHTML">
    <w:name w:val="HTML Acronym"/>
    <w:basedOn w:val="Carpredefinitoparagrafo"/>
    <w:uiPriority w:val="98"/>
    <w:semiHidden/>
    <w:rsid w:val="00D91E18"/>
  </w:style>
  <w:style w:type="paragraph" w:styleId="IndirizzoHTML">
    <w:name w:val="HTML Address"/>
    <w:basedOn w:val="Normale"/>
    <w:link w:val="IndirizzoHTMLCarattere"/>
    <w:uiPriority w:val="98"/>
    <w:semiHidden/>
    <w:rsid w:val="00D91E18"/>
    <w:rPr>
      <w:i/>
      <w:iCs/>
    </w:rPr>
  </w:style>
  <w:style w:type="character" w:customStyle="1" w:styleId="IndirizzoHTMLCarattere">
    <w:name w:val="Indirizzo HTML Carattere"/>
    <w:basedOn w:val="Carpredefinitoparagrafo"/>
    <w:link w:val="IndirizzoHTML"/>
    <w:uiPriority w:val="98"/>
    <w:semiHidden/>
    <w:rsid w:val="00D91E18"/>
    <w:rPr>
      <w:i/>
      <w:iCs/>
      <w:sz w:val="24"/>
      <w:szCs w:val="24"/>
      <w:lang w:val="en-GB"/>
    </w:rPr>
  </w:style>
  <w:style w:type="character" w:styleId="CitazioneHTML">
    <w:name w:val="HTML Cite"/>
    <w:basedOn w:val="Carpredefinitoparagrafo"/>
    <w:uiPriority w:val="98"/>
    <w:semiHidden/>
    <w:rsid w:val="00D91E18"/>
    <w:rPr>
      <w:i/>
      <w:iCs/>
    </w:rPr>
  </w:style>
  <w:style w:type="character" w:styleId="CodiceHTML">
    <w:name w:val="HTML Code"/>
    <w:basedOn w:val="Carpredefinitoparagrafo"/>
    <w:uiPriority w:val="98"/>
    <w:semiHidden/>
    <w:rsid w:val="00D91E18"/>
    <w:rPr>
      <w:rFonts w:ascii="Consolas" w:hAnsi="Consolas" w:cs="Consolas"/>
      <w:sz w:val="20"/>
      <w:szCs w:val="20"/>
    </w:rPr>
  </w:style>
  <w:style w:type="character" w:styleId="DefinizioneHTML">
    <w:name w:val="HTML Definition"/>
    <w:basedOn w:val="Carpredefinitoparagrafo"/>
    <w:uiPriority w:val="98"/>
    <w:semiHidden/>
    <w:rsid w:val="00D91E18"/>
    <w:rPr>
      <w:i/>
      <w:iCs/>
    </w:rPr>
  </w:style>
  <w:style w:type="character" w:styleId="TastieraHTML">
    <w:name w:val="HTML Keyboard"/>
    <w:basedOn w:val="Carpredefinitoparagrafo"/>
    <w:uiPriority w:val="98"/>
    <w:semiHidden/>
    <w:rsid w:val="00D91E18"/>
    <w:rPr>
      <w:rFonts w:ascii="Consolas" w:hAnsi="Consolas" w:cs="Consolas"/>
      <w:sz w:val="20"/>
      <w:szCs w:val="20"/>
    </w:rPr>
  </w:style>
  <w:style w:type="paragraph" w:styleId="PreformattatoHTML">
    <w:name w:val="HTML Preformatted"/>
    <w:basedOn w:val="Normale"/>
    <w:link w:val="PreformattatoHTMLCarattere"/>
    <w:uiPriority w:val="98"/>
    <w:semiHidden/>
    <w:rsid w:val="00D91E1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91E18"/>
    <w:rPr>
      <w:rFonts w:ascii="Consolas" w:hAnsi="Consolas" w:cs="Consolas"/>
      <w:sz w:val="20"/>
      <w:szCs w:val="20"/>
      <w:lang w:val="en-GB"/>
    </w:rPr>
  </w:style>
  <w:style w:type="character" w:styleId="EsempioHTML">
    <w:name w:val="HTML Sample"/>
    <w:basedOn w:val="Carpredefinitoparagrafo"/>
    <w:uiPriority w:val="98"/>
    <w:semiHidden/>
    <w:rsid w:val="00D91E18"/>
    <w:rPr>
      <w:rFonts w:ascii="Consolas" w:hAnsi="Consolas" w:cs="Consolas"/>
      <w:sz w:val="24"/>
      <w:szCs w:val="24"/>
    </w:rPr>
  </w:style>
  <w:style w:type="character" w:styleId="MacchinadascrivereHTML">
    <w:name w:val="HTML Typewriter"/>
    <w:basedOn w:val="Carpredefinitoparagrafo"/>
    <w:uiPriority w:val="98"/>
    <w:semiHidden/>
    <w:rsid w:val="00D91E18"/>
    <w:rPr>
      <w:rFonts w:ascii="Consolas" w:hAnsi="Consolas" w:cs="Consolas"/>
      <w:sz w:val="20"/>
      <w:szCs w:val="20"/>
    </w:rPr>
  </w:style>
  <w:style w:type="character" w:styleId="VariabileHTML">
    <w:name w:val="HTML Variable"/>
    <w:basedOn w:val="Carpredefinitoparagrafo"/>
    <w:uiPriority w:val="98"/>
    <w:semiHidden/>
    <w:rsid w:val="00D91E18"/>
    <w:rPr>
      <w:i/>
      <w:iCs/>
    </w:rPr>
  </w:style>
  <w:style w:type="character" w:styleId="Collegamentoipertestuale">
    <w:name w:val="Hyperlink"/>
    <w:basedOn w:val="Carpredefinitoparagrafo"/>
    <w:uiPriority w:val="98"/>
    <w:semiHidden/>
    <w:rsid w:val="00D91E18"/>
    <w:rPr>
      <w:color w:val="0072BC" w:themeColor="hyperlink"/>
      <w:u w:val="single"/>
    </w:rPr>
  </w:style>
  <w:style w:type="paragraph" w:styleId="Indice1">
    <w:name w:val="index 1"/>
    <w:basedOn w:val="Normale"/>
    <w:next w:val="Normale"/>
    <w:autoRedefine/>
    <w:uiPriority w:val="98"/>
    <w:semiHidden/>
    <w:rsid w:val="00D91E18"/>
    <w:pPr>
      <w:ind w:left="240" w:hanging="240"/>
    </w:pPr>
  </w:style>
  <w:style w:type="paragraph" w:styleId="Indice2">
    <w:name w:val="index 2"/>
    <w:basedOn w:val="Normale"/>
    <w:next w:val="Normale"/>
    <w:autoRedefine/>
    <w:uiPriority w:val="98"/>
    <w:semiHidden/>
    <w:rsid w:val="00D91E18"/>
    <w:pPr>
      <w:ind w:left="480" w:hanging="240"/>
    </w:pPr>
  </w:style>
  <w:style w:type="paragraph" w:styleId="Indice3">
    <w:name w:val="index 3"/>
    <w:basedOn w:val="Normale"/>
    <w:next w:val="Normale"/>
    <w:autoRedefine/>
    <w:uiPriority w:val="98"/>
    <w:semiHidden/>
    <w:rsid w:val="00D91E18"/>
    <w:pPr>
      <w:ind w:left="720" w:hanging="240"/>
    </w:pPr>
  </w:style>
  <w:style w:type="paragraph" w:styleId="Indice4">
    <w:name w:val="index 4"/>
    <w:basedOn w:val="Normale"/>
    <w:next w:val="Normale"/>
    <w:autoRedefine/>
    <w:uiPriority w:val="98"/>
    <w:semiHidden/>
    <w:rsid w:val="00D91E18"/>
    <w:pPr>
      <w:ind w:left="960" w:hanging="240"/>
    </w:pPr>
  </w:style>
  <w:style w:type="paragraph" w:styleId="Indice5">
    <w:name w:val="index 5"/>
    <w:basedOn w:val="Normale"/>
    <w:next w:val="Normale"/>
    <w:autoRedefine/>
    <w:uiPriority w:val="98"/>
    <w:semiHidden/>
    <w:rsid w:val="00D91E18"/>
    <w:pPr>
      <w:ind w:left="1200" w:hanging="240"/>
    </w:pPr>
  </w:style>
  <w:style w:type="paragraph" w:styleId="Indice6">
    <w:name w:val="index 6"/>
    <w:basedOn w:val="Normale"/>
    <w:next w:val="Normale"/>
    <w:autoRedefine/>
    <w:uiPriority w:val="98"/>
    <w:semiHidden/>
    <w:rsid w:val="00D91E18"/>
    <w:pPr>
      <w:ind w:left="1440" w:hanging="240"/>
    </w:pPr>
  </w:style>
  <w:style w:type="paragraph" w:styleId="Indice7">
    <w:name w:val="index 7"/>
    <w:basedOn w:val="Normale"/>
    <w:next w:val="Normale"/>
    <w:autoRedefine/>
    <w:uiPriority w:val="98"/>
    <w:semiHidden/>
    <w:rsid w:val="00D91E18"/>
    <w:pPr>
      <w:ind w:left="1680" w:hanging="240"/>
    </w:pPr>
  </w:style>
  <w:style w:type="paragraph" w:styleId="Indice8">
    <w:name w:val="index 8"/>
    <w:basedOn w:val="Normale"/>
    <w:next w:val="Normale"/>
    <w:autoRedefine/>
    <w:uiPriority w:val="98"/>
    <w:semiHidden/>
    <w:rsid w:val="00D91E18"/>
    <w:pPr>
      <w:ind w:left="1920" w:hanging="240"/>
    </w:pPr>
  </w:style>
  <w:style w:type="paragraph" w:styleId="Indice9">
    <w:name w:val="index 9"/>
    <w:basedOn w:val="Normale"/>
    <w:next w:val="Normale"/>
    <w:autoRedefine/>
    <w:uiPriority w:val="98"/>
    <w:semiHidden/>
    <w:rsid w:val="00D91E18"/>
    <w:pPr>
      <w:ind w:left="2160" w:hanging="240"/>
    </w:pPr>
  </w:style>
  <w:style w:type="paragraph" w:styleId="Titoloindice">
    <w:name w:val="index heading"/>
    <w:basedOn w:val="Normale"/>
    <w:next w:val="Indice1"/>
    <w:uiPriority w:val="98"/>
    <w:semiHidden/>
    <w:rsid w:val="00D91E18"/>
    <w:rPr>
      <w:rFonts w:asciiTheme="majorHAnsi" w:eastAsiaTheme="majorEastAsia" w:hAnsiTheme="majorHAnsi" w:cstheme="majorBidi"/>
      <w:b/>
      <w:bCs/>
    </w:rPr>
  </w:style>
  <w:style w:type="table" w:styleId="Grigliachiara">
    <w:name w:val="Light Grid"/>
    <w:basedOn w:val="Tabellanormale"/>
    <w:uiPriority w:val="62"/>
    <w:semiHidden/>
    <w:rsid w:val="00D91E1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91E1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91E1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91E1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91E1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91E1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91E1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91E1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91E1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91E1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91E1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91E1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91E1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91E1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91E1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91E1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91E1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91E1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91E1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91E1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91E1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91E18"/>
  </w:style>
  <w:style w:type="paragraph" w:styleId="Elenco">
    <w:name w:val="List"/>
    <w:basedOn w:val="Normale"/>
    <w:uiPriority w:val="98"/>
    <w:semiHidden/>
    <w:rsid w:val="00D91E18"/>
    <w:pPr>
      <w:ind w:left="283" w:hanging="283"/>
      <w:contextualSpacing/>
    </w:pPr>
  </w:style>
  <w:style w:type="paragraph" w:styleId="Elenco2">
    <w:name w:val="List 2"/>
    <w:basedOn w:val="Normale"/>
    <w:uiPriority w:val="98"/>
    <w:semiHidden/>
    <w:rsid w:val="00D91E18"/>
    <w:pPr>
      <w:ind w:left="566" w:hanging="283"/>
      <w:contextualSpacing/>
    </w:pPr>
  </w:style>
  <w:style w:type="paragraph" w:styleId="Elenco3">
    <w:name w:val="List 3"/>
    <w:basedOn w:val="Normale"/>
    <w:uiPriority w:val="98"/>
    <w:semiHidden/>
    <w:rsid w:val="00D91E18"/>
    <w:pPr>
      <w:ind w:left="849" w:hanging="283"/>
      <w:contextualSpacing/>
    </w:pPr>
  </w:style>
  <w:style w:type="paragraph" w:styleId="Elenco4">
    <w:name w:val="List 4"/>
    <w:basedOn w:val="Normale"/>
    <w:uiPriority w:val="98"/>
    <w:semiHidden/>
    <w:rsid w:val="00D91E18"/>
    <w:pPr>
      <w:ind w:left="1132" w:hanging="283"/>
      <w:contextualSpacing/>
    </w:pPr>
  </w:style>
  <w:style w:type="paragraph" w:styleId="Elenco5">
    <w:name w:val="List 5"/>
    <w:basedOn w:val="Normale"/>
    <w:uiPriority w:val="98"/>
    <w:semiHidden/>
    <w:rsid w:val="00D91E18"/>
    <w:pPr>
      <w:ind w:left="1415" w:hanging="283"/>
      <w:contextualSpacing/>
    </w:pPr>
  </w:style>
  <w:style w:type="paragraph" w:styleId="Puntoelenco">
    <w:name w:val="List Bullet"/>
    <w:basedOn w:val="Normale"/>
    <w:uiPriority w:val="98"/>
    <w:semiHidden/>
    <w:rsid w:val="00D91E18"/>
    <w:pPr>
      <w:numPr>
        <w:numId w:val="4"/>
      </w:numPr>
    </w:pPr>
  </w:style>
  <w:style w:type="paragraph" w:styleId="Puntoelenco2">
    <w:name w:val="List Bullet 2"/>
    <w:basedOn w:val="Normale"/>
    <w:uiPriority w:val="98"/>
    <w:semiHidden/>
    <w:rsid w:val="00D91E18"/>
    <w:pPr>
      <w:numPr>
        <w:numId w:val="5"/>
      </w:numPr>
      <w:contextualSpacing/>
    </w:pPr>
  </w:style>
  <w:style w:type="paragraph" w:styleId="Puntoelenco3">
    <w:name w:val="List Bullet 3"/>
    <w:basedOn w:val="Normale"/>
    <w:uiPriority w:val="98"/>
    <w:semiHidden/>
    <w:rsid w:val="00D91E18"/>
    <w:pPr>
      <w:numPr>
        <w:numId w:val="6"/>
      </w:numPr>
      <w:contextualSpacing/>
    </w:pPr>
  </w:style>
  <w:style w:type="paragraph" w:styleId="Puntoelenco4">
    <w:name w:val="List Bullet 4"/>
    <w:basedOn w:val="Normale"/>
    <w:uiPriority w:val="98"/>
    <w:semiHidden/>
    <w:rsid w:val="00D91E18"/>
    <w:pPr>
      <w:numPr>
        <w:numId w:val="7"/>
      </w:numPr>
      <w:contextualSpacing/>
    </w:pPr>
  </w:style>
  <w:style w:type="paragraph" w:styleId="Puntoelenco5">
    <w:name w:val="List Bullet 5"/>
    <w:basedOn w:val="Normale"/>
    <w:uiPriority w:val="98"/>
    <w:semiHidden/>
    <w:rsid w:val="00D91E18"/>
    <w:pPr>
      <w:numPr>
        <w:numId w:val="8"/>
      </w:numPr>
      <w:contextualSpacing/>
    </w:pPr>
  </w:style>
  <w:style w:type="paragraph" w:styleId="Elencocontinua">
    <w:name w:val="List Continue"/>
    <w:basedOn w:val="Normale"/>
    <w:uiPriority w:val="98"/>
    <w:semiHidden/>
    <w:rsid w:val="00D91E18"/>
    <w:pPr>
      <w:spacing w:after="120"/>
      <w:ind w:left="283"/>
      <w:contextualSpacing/>
    </w:pPr>
  </w:style>
  <w:style w:type="paragraph" w:styleId="Elencocontinua2">
    <w:name w:val="List Continue 2"/>
    <w:basedOn w:val="Normale"/>
    <w:uiPriority w:val="98"/>
    <w:semiHidden/>
    <w:rsid w:val="00D91E18"/>
    <w:pPr>
      <w:spacing w:after="120"/>
      <w:ind w:left="566"/>
      <w:contextualSpacing/>
    </w:pPr>
  </w:style>
  <w:style w:type="paragraph" w:styleId="Elencocontinua3">
    <w:name w:val="List Continue 3"/>
    <w:basedOn w:val="Normale"/>
    <w:uiPriority w:val="98"/>
    <w:semiHidden/>
    <w:rsid w:val="00D91E18"/>
    <w:pPr>
      <w:spacing w:after="120"/>
      <w:ind w:left="849"/>
      <w:contextualSpacing/>
    </w:pPr>
  </w:style>
  <w:style w:type="paragraph" w:styleId="Elencocontinua4">
    <w:name w:val="List Continue 4"/>
    <w:basedOn w:val="Normale"/>
    <w:uiPriority w:val="98"/>
    <w:semiHidden/>
    <w:rsid w:val="00D91E18"/>
    <w:pPr>
      <w:spacing w:after="120"/>
      <w:ind w:left="1132"/>
      <w:contextualSpacing/>
    </w:pPr>
  </w:style>
  <w:style w:type="paragraph" w:styleId="Elencocontinua5">
    <w:name w:val="List Continue 5"/>
    <w:basedOn w:val="Normale"/>
    <w:uiPriority w:val="98"/>
    <w:semiHidden/>
    <w:rsid w:val="00D91E18"/>
    <w:pPr>
      <w:spacing w:after="120"/>
      <w:ind w:left="1415"/>
      <w:contextualSpacing/>
    </w:pPr>
  </w:style>
  <w:style w:type="paragraph" w:styleId="Numeroelenco">
    <w:name w:val="List Number"/>
    <w:basedOn w:val="Normale"/>
    <w:uiPriority w:val="98"/>
    <w:semiHidden/>
    <w:rsid w:val="00D91E18"/>
    <w:pPr>
      <w:numPr>
        <w:numId w:val="9"/>
      </w:numPr>
      <w:contextualSpacing/>
    </w:pPr>
  </w:style>
  <w:style w:type="paragraph" w:styleId="Numeroelenco2">
    <w:name w:val="List Number 2"/>
    <w:basedOn w:val="Normale"/>
    <w:uiPriority w:val="98"/>
    <w:semiHidden/>
    <w:rsid w:val="00D91E18"/>
    <w:pPr>
      <w:numPr>
        <w:numId w:val="10"/>
      </w:numPr>
      <w:contextualSpacing/>
    </w:pPr>
  </w:style>
  <w:style w:type="paragraph" w:styleId="Numeroelenco3">
    <w:name w:val="List Number 3"/>
    <w:basedOn w:val="Normale"/>
    <w:uiPriority w:val="98"/>
    <w:semiHidden/>
    <w:rsid w:val="00D91E18"/>
    <w:pPr>
      <w:numPr>
        <w:numId w:val="11"/>
      </w:numPr>
      <w:contextualSpacing/>
    </w:pPr>
  </w:style>
  <w:style w:type="paragraph" w:styleId="Numeroelenco4">
    <w:name w:val="List Number 4"/>
    <w:basedOn w:val="Normale"/>
    <w:uiPriority w:val="98"/>
    <w:semiHidden/>
    <w:rsid w:val="00D91E18"/>
    <w:pPr>
      <w:numPr>
        <w:numId w:val="12"/>
      </w:numPr>
      <w:contextualSpacing/>
    </w:pPr>
  </w:style>
  <w:style w:type="paragraph" w:styleId="Numeroelenco5">
    <w:name w:val="List Number 5"/>
    <w:basedOn w:val="Normale"/>
    <w:uiPriority w:val="98"/>
    <w:semiHidden/>
    <w:rsid w:val="00D91E18"/>
    <w:pPr>
      <w:numPr>
        <w:numId w:val="13"/>
      </w:numPr>
      <w:contextualSpacing/>
    </w:pPr>
  </w:style>
  <w:style w:type="paragraph" w:styleId="Testomacro">
    <w:name w:val="macro"/>
    <w:link w:val="TestomacroCarattere"/>
    <w:uiPriority w:val="98"/>
    <w:semiHidden/>
    <w:rsid w:val="00D91E1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91E18"/>
    <w:rPr>
      <w:rFonts w:ascii="Consolas" w:eastAsiaTheme="minorEastAsia" w:hAnsi="Consolas" w:cs="Consolas"/>
      <w:sz w:val="20"/>
      <w:szCs w:val="20"/>
    </w:rPr>
  </w:style>
  <w:style w:type="table" w:styleId="Grigliamedia1">
    <w:name w:val="Medium Grid 1"/>
    <w:basedOn w:val="Tabellanormale"/>
    <w:uiPriority w:val="67"/>
    <w:semiHidden/>
    <w:rsid w:val="00D91E1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91E1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91E1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91E1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91E1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91E1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91E1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91E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91E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91E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91E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91E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91E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91E1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91E1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91E1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91E1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91E1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91E1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91E1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91E1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91E1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91E1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91E1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91E1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91E1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91E1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91E1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91E1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91E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91E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91E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91E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91E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91E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91E1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91E1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91E1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91E18"/>
    <w:rPr>
      <w:rFonts w:ascii="Times New Roman" w:hAnsi="Times New Roman" w:cs="Times New Roman"/>
    </w:rPr>
  </w:style>
  <w:style w:type="paragraph" w:styleId="Rientronormale">
    <w:name w:val="Normal Indent"/>
    <w:basedOn w:val="Normale"/>
    <w:uiPriority w:val="98"/>
    <w:semiHidden/>
    <w:rsid w:val="00D91E18"/>
    <w:pPr>
      <w:ind w:left="720"/>
    </w:pPr>
  </w:style>
  <w:style w:type="table" w:customStyle="1" w:styleId="ECHRTableNoLines">
    <w:name w:val="ECHR_Table_No_Lines"/>
    <w:basedOn w:val="Tabellanormale"/>
    <w:uiPriority w:val="99"/>
    <w:rsid w:val="00D91E1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91E1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D91E1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91E1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91E1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91E18"/>
  </w:style>
  <w:style w:type="character" w:customStyle="1" w:styleId="FormuladiaperturaCarattere">
    <w:name w:val="Formula di apertura Carattere"/>
    <w:basedOn w:val="Carpredefinitoparagrafo"/>
    <w:link w:val="Formuladiapertura"/>
    <w:uiPriority w:val="98"/>
    <w:semiHidden/>
    <w:rsid w:val="00D91E18"/>
    <w:rPr>
      <w:sz w:val="24"/>
      <w:szCs w:val="24"/>
      <w:lang w:val="en-GB"/>
    </w:rPr>
  </w:style>
  <w:style w:type="paragraph" w:styleId="Firma">
    <w:name w:val="Signature"/>
    <w:basedOn w:val="Normale"/>
    <w:link w:val="FirmaCarattere"/>
    <w:uiPriority w:val="98"/>
    <w:semiHidden/>
    <w:rsid w:val="00D91E18"/>
    <w:pPr>
      <w:ind w:left="4252"/>
    </w:pPr>
  </w:style>
  <w:style w:type="character" w:customStyle="1" w:styleId="FirmaCarattere">
    <w:name w:val="Firma Carattere"/>
    <w:basedOn w:val="Carpredefinitoparagrafo"/>
    <w:link w:val="Firma"/>
    <w:uiPriority w:val="98"/>
    <w:semiHidden/>
    <w:rsid w:val="00D91E18"/>
    <w:rPr>
      <w:sz w:val="24"/>
      <w:szCs w:val="24"/>
      <w:lang w:val="en-GB"/>
    </w:rPr>
  </w:style>
  <w:style w:type="table" w:styleId="Tabellaeffetti3D1">
    <w:name w:val="Table 3D effects 1"/>
    <w:basedOn w:val="Tabellanormale"/>
    <w:uiPriority w:val="99"/>
    <w:semiHidden/>
    <w:unhideWhenUsed/>
    <w:rsid w:val="00D91E1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91E1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91E1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91E1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91E1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91E1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91E1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91E1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91E1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91E1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91E1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91E1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91E1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91E1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91E1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91E1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91E1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91E1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91E1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91E1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91E1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91E1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91E1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91E1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91E1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91E1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91E1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91E1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91E1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91E1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91E1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91E1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91E1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91E1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91E18"/>
    <w:pPr>
      <w:ind w:left="240" w:hanging="240"/>
    </w:pPr>
  </w:style>
  <w:style w:type="paragraph" w:styleId="Indicedellefigure">
    <w:name w:val="table of figures"/>
    <w:basedOn w:val="Normale"/>
    <w:next w:val="Normale"/>
    <w:uiPriority w:val="98"/>
    <w:semiHidden/>
    <w:rsid w:val="00D91E18"/>
  </w:style>
  <w:style w:type="table" w:styleId="Tabellaprofessionale">
    <w:name w:val="Table Professional"/>
    <w:basedOn w:val="Tabellanormale"/>
    <w:uiPriority w:val="99"/>
    <w:semiHidden/>
    <w:unhideWhenUsed/>
    <w:rsid w:val="00D91E1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91E1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91E1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91E1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91E1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91E1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91E1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91E1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91E1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91E1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91E1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91E1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91E1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91E1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91E1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91E1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91E1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91E1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91E18"/>
    <w:pPr>
      <w:spacing w:after="100"/>
      <w:ind w:left="1680"/>
    </w:pPr>
  </w:style>
  <w:style w:type="paragraph" w:styleId="Sommario9">
    <w:name w:val="toc 9"/>
    <w:basedOn w:val="Normale"/>
    <w:next w:val="Normale"/>
    <w:autoRedefine/>
    <w:uiPriority w:val="98"/>
    <w:semiHidden/>
    <w:rsid w:val="00D91E18"/>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D91E1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91E18"/>
    <w:rPr>
      <w:sz w:val="24"/>
      <w:szCs w:val="24"/>
      <w:lang w:val="en-GB"/>
    </w:rPr>
  </w:style>
  <w:style w:type="paragraph" w:customStyle="1" w:styleId="ECHRFooterLine">
    <w:name w:val="ECHR_Footer_Line"/>
    <w:aliases w:val="_Footer_Line"/>
    <w:basedOn w:val="Normale"/>
    <w:next w:val="Normale"/>
    <w:uiPriority w:val="30"/>
    <w:semiHidden/>
    <w:rsid w:val="00D91E1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91E1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D91E18"/>
    <w:pPr>
      <w:ind w:firstLine="284"/>
    </w:pPr>
    <w:rPr>
      <w:b/>
    </w:rPr>
  </w:style>
  <w:style w:type="paragraph" w:styleId="Intestazionenota">
    <w:name w:val="Note Heading"/>
    <w:basedOn w:val="Normale"/>
    <w:next w:val="Normale"/>
    <w:link w:val="IntestazionenotaCarattere"/>
    <w:uiPriority w:val="98"/>
    <w:semiHidden/>
    <w:rsid w:val="00D91E18"/>
  </w:style>
  <w:style w:type="character" w:customStyle="1" w:styleId="IntestazionenotaCarattere">
    <w:name w:val="Intestazione nota Carattere"/>
    <w:basedOn w:val="Carpredefinitoparagrafo"/>
    <w:link w:val="Intestazionenota"/>
    <w:uiPriority w:val="98"/>
    <w:semiHidden/>
    <w:rsid w:val="00D91E18"/>
    <w:rPr>
      <w:sz w:val="24"/>
      <w:szCs w:val="24"/>
      <w:lang w:val="en-GB"/>
    </w:rPr>
  </w:style>
  <w:style w:type="paragraph" w:customStyle="1" w:styleId="ECHRHeaderLandscape">
    <w:name w:val="ECHR_Header_Landscape"/>
    <w:aliases w:val="_Header_Landscape"/>
    <w:basedOn w:val="JuHeader"/>
    <w:uiPriority w:val="29"/>
    <w:semiHidden/>
    <w:rsid w:val="00D91E1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91E18"/>
    <w:pPr>
      <w:numPr>
        <w:numId w:val="17"/>
      </w:numPr>
      <w:spacing w:before="60" w:after="60"/>
    </w:pPr>
  </w:style>
  <w:style w:type="paragraph" w:customStyle="1" w:styleId="ECHRBullet2">
    <w:name w:val="ECHR_Bullet_2"/>
    <w:aliases w:val="_Bul_2"/>
    <w:basedOn w:val="ECHRBullet1"/>
    <w:uiPriority w:val="23"/>
    <w:semiHidden/>
    <w:rsid w:val="00D91E18"/>
    <w:pPr>
      <w:numPr>
        <w:ilvl w:val="1"/>
      </w:numPr>
    </w:pPr>
  </w:style>
  <w:style w:type="paragraph" w:customStyle="1" w:styleId="ECHRBullet3">
    <w:name w:val="ECHR_Bullet_3"/>
    <w:aliases w:val="_Bul_3"/>
    <w:basedOn w:val="ECHRBullet2"/>
    <w:uiPriority w:val="23"/>
    <w:semiHidden/>
    <w:rsid w:val="00D91E18"/>
    <w:pPr>
      <w:numPr>
        <w:ilvl w:val="2"/>
      </w:numPr>
    </w:pPr>
  </w:style>
  <w:style w:type="paragraph" w:customStyle="1" w:styleId="ECHRBullet4">
    <w:name w:val="ECHR_Bullet_4"/>
    <w:aliases w:val="_Bul_4"/>
    <w:basedOn w:val="ECHRBullet3"/>
    <w:uiPriority w:val="23"/>
    <w:semiHidden/>
    <w:rsid w:val="00D91E18"/>
    <w:pPr>
      <w:numPr>
        <w:ilvl w:val="3"/>
      </w:numPr>
    </w:pPr>
  </w:style>
  <w:style w:type="paragraph" w:customStyle="1" w:styleId="ECHRConfidential">
    <w:name w:val="ECHR_Confidential"/>
    <w:aliases w:val="_Confidential"/>
    <w:basedOn w:val="Normale"/>
    <w:next w:val="Normale"/>
    <w:uiPriority w:val="42"/>
    <w:semiHidden/>
    <w:qFormat/>
    <w:rsid w:val="00D91E18"/>
    <w:pPr>
      <w:jc w:val="right"/>
    </w:pPr>
    <w:rPr>
      <w:color w:val="C00000"/>
      <w:sz w:val="20"/>
    </w:rPr>
  </w:style>
  <w:style w:type="paragraph" w:customStyle="1" w:styleId="ECHRDecisionBody">
    <w:name w:val="ECHR_Decision_Body"/>
    <w:aliases w:val="_Decision_Body"/>
    <w:basedOn w:val="NormalJustified"/>
    <w:uiPriority w:val="54"/>
    <w:semiHidden/>
    <w:rsid w:val="00D91E1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91E1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91E18"/>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D91E1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91E18"/>
    <w:pPr>
      <w:jc w:val="right"/>
    </w:pPr>
    <w:rPr>
      <w:sz w:val="20"/>
    </w:rPr>
  </w:style>
  <w:style w:type="paragraph" w:customStyle="1" w:styleId="ECHRHeaderRefIt">
    <w:name w:val="ECHR_Header_Ref_It"/>
    <w:aliases w:val="_Ref_Ital"/>
    <w:basedOn w:val="Normale"/>
    <w:next w:val="ECHRHeaderDate"/>
    <w:uiPriority w:val="43"/>
    <w:semiHidden/>
    <w:qFormat/>
    <w:rsid w:val="00D91E18"/>
    <w:pPr>
      <w:jc w:val="right"/>
    </w:pPr>
    <w:rPr>
      <w:i/>
      <w:sz w:val="20"/>
    </w:rPr>
  </w:style>
  <w:style w:type="paragraph" w:customStyle="1" w:styleId="ECHRHeading9">
    <w:name w:val="ECHR_Heading_9"/>
    <w:aliases w:val="_Head_9"/>
    <w:basedOn w:val="Titolo9"/>
    <w:uiPriority w:val="17"/>
    <w:semiHidden/>
    <w:rsid w:val="00D91E18"/>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91E1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91E18"/>
    <w:pPr>
      <w:numPr>
        <w:numId w:val="18"/>
      </w:numPr>
      <w:spacing w:before="60" w:after="60"/>
    </w:pPr>
  </w:style>
  <w:style w:type="paragraph" w:customStyle="1" w:styleId="ECHRNumberedList2">
    <w:name w:val="ECHR_Numbered_List_2"/>
    <w:aliases w:val="_Num_2"/>
    <w:basedOn w:val="ECHRNumberedList1"/>
    <w:uiPriority w:val="23"/>
    <w:semiHidden/>
    <w:rsid w:val="00D91E18"/>
    <w:pPr>
      <w:numPr>
        <w:ilvl w:val="1"/>
      </w:numPr>
    </w:pPr>
  </w:style>
  <w:style w:type="paragraph" w:customStyle="1" w:styleId="ECHRNumberedList3">
    <w:name w:val="ECHR_Numbered_List_3"/>
    <w:aliases w:val="_Num_3"/>
    <w:basedOn w:val="ECHRNumberedList2"/>
    <w:uiPriority w:val="23"/>
    <w:semiHidden/>
    <w:rsid w:val="00D91E18"/>
    <w:pPr>
      <w:numPr>
        <w:ilvl w:val="2"/>
      </w:numPr>
    </w:pPr>
  </w:style>
  <w:style w:type="paragraph" w:customStyle="1" w:styleId="ECHRParaHanging">
    <w:name w:val="ECHR_Para_Hanging"/>
    <w:aliases w:val="_Hanging"/>
    <w:basedOn w:val="NormalJustified"/>
    <w:uiPriority w:val="8"/>
    <w:semiHidden/>
    <w:qFormat/>
    <w:rsid w:val="00D91E18"/>
    <w:pPr>
      <w:ind w:left="567" w:hanging="567"/>
    </w:pPr>
  </w:style>
  <w:style w:type="paragraph" w:customStyle="1" w:styleId="ECHRParaIndent">
    <w:name w:val="ECHR_Para_Indent"/>
    <w:aliases w:val="_Indent"/>
    <w:basedOn w:val="NormalJustified"/>
    <w:uiPriority w:val="7"/>
    <w:semiHidden/>
    <w:qFormat/>
    <w:rsid w:val="00D91E18"/>
    <w:pPr>
      <w:spacing w:before="120" w:after="120"/>
      <w:ind w:left="284"/>
    </w:pPr>
  </w:style>
  <w:style w:type="character" w:customStyle="1" w:styleId="ECHRRed">
    <w:name w:val="ECHR_Red"/>
    <w:aliases w:val="_Red"/>
    <w:basedOn w:val="Carpredefinitoparagrafo"/>
    <w:uiPriority w:val="15"/>
    <w:semiHidden/>
    <w:qFormat/>
    <w:rsid w:val="00D91E18"/>
    <w:rPr>
      <w:color w:val="C00000" w:themeColor="accent2"/>
    </w:rPr>
  </w:style>
  <w:style w:type="paragraph" w:customStyle="1" w:styleId="DecList">
    <w:name w:val="Dec_List"/>
    <w:aliases w:val="_List"/>
    <w:basedOn w:val="JuList"/>
    <w:uiPriority w:val="22"/>
    <w:rsid w:val="00D91E18"/>
    <w:pPr>
      <w:numPr>
        <w:numId w:val="0"/>
      </w:numPr>
      <w:ind w:left="284"/>
    </w:pPr>
  </w:style>
  <w:style w:type="table" w:customStyle="1" w:styleId="ECHRTable">
    <w:name w:val="ECHR_Table"/>
    <w:basedOn w:val="Tabellanormale"/>
    <w:rsid w:val="00D91E1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D91E1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91E1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91E1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91E1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91E1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91E1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91E1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91E1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91E18"/>
    <w:pPr>
      <w:outlineLvl w:val="0"/>
    </w:pPr>
  </w:style>
  <w:style w:type="paragraph" w:customStyle="1" w:styleId="ECHRTitleTOC1">
    <w:name w:val="ECHR_Title_TOC_1"/>
    <w:aliases w:val="_Title_L_TOC"/>
    <w:basedOn w:val="ECHRTitle1"/>
    <w:next w:val="Normale"/>
    <w:uiPriority w:val="27"/>
    <w:semiHidden/>
    <w:qFormat/>
    <w:rsid w:val="00D91E18"/>
    <w:pPr>
      <w:outlineLvl w:val="0"/>
    </w:pPr>
  </w:style>
  <w:style w:type="table" w:customStyle="1" w:styleId="LtrTableAddress">
    <w:name w:val="Ltr_Table_Address"/>
    <w:aliases w:val="ECHR_Ltr_Table_Address"/>
    <w:basedOn w:val="Tabellanormale"/>
    <w:uiPriority w:val="99"/>
    <w:rsid w:val="00D91E18"/>
    <w:rPr>
      <w:sz w:val="24"/>
      <w:szCs w:val="24"/>
    </w:rPr>
    <w:tblPr>
      <w:tblInd w:w="5103" w:type="dxa"/>
    </w:tblPr>
  </w:style>
  <w:style w:type="table" w:customStyle="1" w:styleId="PCFTableStyle">
    <w:name w:val="PCF_Table_Style"/>
    <w:aliases w:val="ECHR_PCF_Table_Style"/>
    <w:basedOn w:val="Tabellanormale"/>
    <w:uiPriority w:val="99"/>
    <w:rsid w:val="00D91E1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D91E1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91E1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D91E18"/>
    <w:rPr>
      <w:color w:val="FFFFFF"/>
    </w:rPr>
  </w:style>
  <w:style w:type="paragraph" w:customStyle="1" w:styleId="ECHRSpacer">
    <w:name w:val="ECHR_Spacer"/>
    <w:aliases w:val="_Spacer"/>
    <w:basedOn w:val="Normale"/>
    <w:uiPriority w:val="45"/>
    <w:semiHidden/>
    <w:rsid w:val="00D91E18"/>
    <w:rPr>
      <w:sz w:val="4"/>
    </w:rPr>
  </w:style>
  <w:style w:type="table" w:customStyle="1" w:styleId="ECHRTableGrey">
    <w:name w:val="ECHR_Table_Grey"/>
    <w:basedOn w:val="Tabellanormale"/>
    <w:uiPriority w:val="99"/>
    <w:rsid w:val="00D91E1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91E1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D91E18"/>
    <w:rPr>
      <w:color w:val="605E5C"/>
      <w:shd w:val="clear" w:color="auto" w:fill="E1DFDD"/>
    </w:rPr>
  </w:style>
  <w:style w:type="character" w:customStyle="1" w:styleId="JuParaChar">
    <w:name w:val="Ju_Para Char"/>
    <w:aliases w:val="_Para Char"/>
    <w:link w:val="JuPara"/>
    <w:uiPriority w:val="4"/>
    <w:rsid w:val="00AB3504"/>
    <w:rPr>
      <w:sz w:val="24"/>
      <w:szCs w:val="24"/>
      <w:lang w:val="en-GB"/>
    </w:rPr>
  </w:style>
  <w:style w:type="table" w:styleId="Tabellagriglia1chiara">
    <w:name w:val="Grid Table 1 Light"/>
    <w:basedOn w:val="Tabellanormale"/>
    <w:uiPriority w:val="46"/>
    <w:semiHidden/>
    <w:rsid w:val="00B511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5113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5113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5113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5113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5113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5113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511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5113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5113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5113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5113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5113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5113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511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5113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5113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5113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5113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511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511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511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5113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5113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5113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5113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511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511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511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511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511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511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511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511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5113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511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5113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5113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5113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5113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5113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5113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511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5113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5113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5113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5113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5113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5113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5113C"/>
    <w:rPr>
      <w:color w:val="2B579A"/>
      <w:shd w:val="clear" w:color="auto" w:fill="E1DFDD"/>
    </w:rPr>
  </w:style>
  <w:style w:type="table" w:styleId="Tabellaelenco1chiara">
    <w:name w:val="List Table 1 Light"/>
    <w:basedOn w:val="Tabellanormale"/>
    <w:uiPriority w:val="46"/>
    <w:semiHidden/>
    <w:rsid w:val="00B511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5113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5113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5113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5113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5113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5113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511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5113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5113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5113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5113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5113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5113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511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5113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5113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5113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5113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5113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5113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511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5113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5113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5113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5113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5113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5113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5113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5113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5113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5113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5113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5113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5113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511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5113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5113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5113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5113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5113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5113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511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5113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5113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5113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5113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5113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5113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5113C"/>
    <w:rPr>
      <w:color w:val="2B579A"/>
      <w:shd w:val="clear" w:color="auto" w:fill="E1DFDD"/>
    </w:rPr>
  </w:style>
  <w:style w:type="table" w:styleId="Tabellasemplice-1">
    <w:name w:val="Plain Table 1"/>
    <w:basedOn w:val="Tabellanormale"/>
    <w:uiPriority w:val="41"/>
    <w:semiHidden/>
    <w:rsid w:val="00B5113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511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511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511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511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5113C"/>
    <w:rPr>
      <w:u w:val="dotted"/>
    </w:rPr>
  </w:style>
  <w:style w:type="character" w:customStyle="1" w:styleId="SmartLink">
    <w:name w:val="Smart Link"/>
    <w:basedOn w:val="Carpredefinitoparagrafo"/>
    <w:uiPriority w:val="99"/>
    <w:semiHidden/>
    <w:unhideWhenUsed/>
    <w:rsid w:val="00B5113C"/>
    <w:rPr>
      <w:color w:val="0000FF"/>
      <w:u w:val="single"/>
      <w:shd w:val="clear" w:color="auto" w:fill="F3F2F1"/>
    </w:rPr>
  </w:style>
  <w:style w:type="table" w:styleId="Grigliatabellachiara">
    <w:name w:val="Grid Table Light"/>
    <w:basedOn w:val="Tabellanormale"/>
    <w:uiPriority w:val="40"/>
    <w:semiHidden/>
    <w:rsid w:val="00B5113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549D-E928-45F1-B69A-62B37B0AFD6A}">
  <ds:schemaRefs>
    <ds:schemaRef ds:uri="http://schemas.microsoft.com/sharepoint/v3/contenttype/forms"/>
  </ds:schemaRefs>
</ds:datastoreItem>
</file>

<file path=customXml/itemProps2.xml><?xml version="1.0" encoding="utf-8"?>
<ds:datastoreItem xmlns:ds="http://schemas.openxmlformats.org/officeDocument/2006/customXml" ds:itemID="{6C6BB7A8-0457-4617-B440-9D31F77B5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2E8B03-C967-48EE-B0FF-7F786926FF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DB93AC-22DB-4563-B397-E8F8D8D8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4354</Words>
  <Characters>24820</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2022-12-28T14:32:00Z</dcterms:created>
  <dcterms:modified xsi:type="dcterms:W3CDTF">2022-12-28T14:32:00Z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20863/21</vt:lpwstr>
  </property>
  <property fmtid="{D5CDD505-2E9C-101B-9397-08002B2CF9AE}" pid="4" name="CASEID">
    <vt:lpwstr>1620370</vt:lpwstr>
  </property>
  <property fmtid="{D5CDD505-2E9C-101B-9397-08002B2CF9AE}" pid="5" name="ContentTypeId">
    <vt:lpwstr>0x010100558EB02BDB9E204AB350EDD385B68E10</vt:lpwstr>
  </property>
</Properties>
</file>